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32"/>
        </w:rPr>
        <w:t>ResolveCX</w:t>
      </w:r>
    </w:p>
    <w:p>
      <w:pPr>
        <w:jc w:val="center"/>
      </w:pPr>
      <w:r>
        <w:rPr>
          <w:b/>
          <w:sz w:val="22"/>
        </w:rPr>
        <w:t>RESEARCH SERIES • STUDY #001</w:t>
      </w:r>
    </w:p>
    <w:p>
      <w:pPr>
        <w:pStyle w:val="Title"/>
        <w:jc w:val="center"/>
      </w:pPr>
      <w:r>
        <w:t>The New-Hire Survival Study</w:t>
      </w:r>
    </w:p>
    <w:p>
      <w:pPr>
        <w:jc w:val="center"/>
      </w:pPr>
      <w:r>
        <w:rPr>
          <w:i/>
          <w:sz w:val="28"/>
        </w:rPr>
        <w:t>Understanding the transition into frontline contact-center work</w:t>
      </w:r>
    </w:p>
    <w:p/>
    <w:tbl>
      <w:tblPr>
        <w:tblStyle w:val="TableGrid"/>
        <w:tblW w:type="auto" w:w="0"/>
        <w:jc w:val="center"/>
        <w:tblLook w:firstColumn="1" w:firstRow="1" w:lastColumn="0" w:lastRow="0" w:noHBand="0" w:noVBand="1" w:val="04A0"/>
      </w:tblPr>
      <w:tblGrid>
        <w:gridCol w:w="4968"/>
        <w:gridCol w:w="4968"/>
      </w:tblGrid>
      <w:tr>
        <w:tc>
          <w:tcPr>
            <w:tcW w:type="dxa" w:w="4968"/>
            <w:shd w:fill="D9EAF7"/>
          </w:tcPr>
          <w:p>
            <w:r>
              <w:rPr>
                <w:b/>
              </w:rPr>
              <w:t>Protocol version</w:t>
            </w:r>
          </w:p>
        </w:tc>
        <w:tc>
          <w:tcPr>
            <w:tcW w:type="dxa" w:w="4968"/>
          </w:tcPr>
          <w:p>
            <w:r>
              <w:t>1.1</w:t>
            </w:r>
          </w:p>
        </w:tc>
      </w:tr>
      <w:tr>
        <w:tc>
          <w:tcPr>
            <w:tcW w:type="dxa" w:w="4968"/>
            <w:shd w:fill="D9EAF7"/>
          </w:tcPr>
          <w:p>
            <w:r>
              <w:rPr>
                <w:b/>
              </w:rPr>
              <w:t>Status</w:t>
            </w:r>
          </w:p>
        </w:tc>
        <w:tc>
          <w:tcPr>
            <w:tcW w:type="dxa" w:w="4968"/>
          </w:tcPr>
          <w:p>
            <w:r>
              <w:t>Pre-data-collection research protocol</w:t>
            </w:r>
          </w:p>
        </w:tc>
      </w:tr>
      <w:tr>
        <w:tc>
          <w:tcPr>
            <w:tcW w:type="dxa" w:w="4968"/>
            <w:shd w:fill="D9EAF7"/>
          </w:tcPr>
          <w:p>
            <w:r>
              <w:rPr>
                <w:b/>
              </w:rPr>
              <w:t>Study type</w:t>
            </w:r>
          </w:p>
        </w:tc>
        <w:tc>
          <w:tcPr>
            <w:tcW w:type="dxa" w:w="4968"/>
          </w:tcPr>
          <w:p>
            <w:r>
              <w:t>Multi-method, cross-industry, longitudinal research program</w:t>
            </w:r>
          </w:p>
        </w:tc>
      </w:tr>
      <w:tr>
        <w:tc>
          <w:tcPr>
            <w:tcW w:type="dxa" w:w="4968"/>
            <w:shd w:fill="D9EAF7"/>
          </w:tcPr>
          <w:p>
            <w:r>
              <w:rPr>
                <w:b/>
              </w:rPr>
              <w:t>Primary horizon</w:t>
            </w:r>
          </w:p>
        </w:tc>
        <w:tc>
          <w:tcPr>
            <w:tcW w:type="dxa" w:w="4968"/>
          </w:tcPr>
          <w:p>
            <w:r>
              <w:t>Pre-hire through 12 months</w:t>
            </w:r>
          </w:p>
        </w:tc>
      </w:tr>
      <w:tr>
        <w:tc>
          <w:tcPr>
            <w:tcW w:type="dxa" w:w="4968"/>
            <w:shd w:fill="D9EAF7"/>
          </w:tcPr>
          <w:p>
            <w:r>
              <w:rPr>
                <w:b/>
              </w:rPr>
              <w:t>Research principle</w:t>
            </w:r>
          </w:p>
        </w:tc>
        <w:tc>
          <w:tcPr>
            <w:tcW w:type="dxa" w:w="4968"/>
          </w:tcPr>
          <w:p>
            <w:r>
              <w:t>Discover what is true; report supportive and contradictory evidence.</w:t>
            </w:r>
          </w:p>
        </w:tc>
      </w:tr>
    </w:tbl>
    <w:p>
      <w:r>
        <w:br w:type="page"/>
      </w:r>
    </w:p>
    <w:p>
      <w:pPr>
        <w:pStyle w:val="Heading1"/>
      </w:pPr>
      <w:r>
        <w:t>1. Purpose and Research Integrity</w:t>
      </w:r>
    </w:p>
    <w:p>
      <w:r>
        <w:t>Study #001 is designed to determine why potentially capable people succeed, struggle, disengage, or leave during the transition into frontline contact-center work, and which modifiable factors can responsibly be addressed before or during early employment. The study is not designed to prove that ResolveCX works. A later intervention study will be required before ResolveCX may claim causal impact.</w:t>
      </w:r>
    </w:p>
    <w:p>
      <w:r>
        <w:t>Permanent integrity standard: ResolveCX research is designed to discover what is true, not to manufacture evidence for what we hope is true. Findings that weaken or contradict the ResolveCX business thesis will be reported with the same transparency as findings that support it.</w:t>
      </w:r>
    </w:p>
    <w:p>
      <w:pPr>
        <w:pStyle w:val="Heading1"/>
      </w:pPr>
      <w:r>
        <w:t>2. Primary Research Question</w:t>
      </w:r>
    </w:p>
    <w:p>
      <w:r>
        <w:t>Among newly hired frontline contact-center employees, which pre-employment, onboarding, workplace, and leadership factors predict successful transition from hire through the first 12 months of employment, and which modifiable pre-employment factors could improve those outcomes?</w:t>
      </w:r>
    </w:p>
    <w:p>
      <w:pPr>
        <w:pStyle w:val="Heading1"/>
      </w:pPr>
      <w:r>
        <w:t>3. Scope</w:t>
      </w:r>
    </w:p>
    <w:p>
      <w:pPr>
        <w:pStyle w:val="ListBullet"/>
      </w:pPr>
      <w:r>
        <w:t>Industries: insurance; banking/financial services; healthcare; telecommunications; utilities; retail/e-commerce; travel/hospitality; government; and BPO/outsourcing.</w:t>
      </w:r>
    </w:p>
    <w:p>
      <w:pPr>
        <w:pStyle w:val="ListBullet"/>
      </w:pPr>
      <w:r>
        <w:t>Stages: recruitment/pre-hire; training; nesting; independent production; Day 30; Day 60; Day 90; Month 6; Month 12.</w:t>
      </w:r>
    </w:p>
    <w:p>
      <w:pPr>
        <w:pStyle w:val="ListBullet"/>
      </w:pPr>
      <w:r>
        <w:t>Perspectives: current frontline employees, successful first-year employees, early leavers, supervisors, trainers/L&amp;D, HR/recruiting, WFM/operations leaders, and workforce/education partners.</w:t>
      </w:r>
    </w:p>
    <w:p>
      <w:pPr>
        <w:pStyle w:val="ListBullet"/>
      </w:pPr>
      <w:r>
        <w:t>Geography: begin with the United States; record geography explicitly before making broader claims.</w:t>
      </w:r>
    </w:p>
    <w:p>
      <w:pPr>
        <w:pStyle w:val="Heading1"/>
      </w:pPr>
      <w:r>
        <w:t>4. Evidence Hierarchy</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shd w:fill="1F4E79"/>
          </w:tcPr>
          <w:p>
            <w:r>
              <w:rPr>
                <w:b/>
                <w:color w:val="FFFFFF"/>
              </w:rPr>
              <w:t>Tier</w:t>
            </w:r>
          </w:p>
        </w:tc>
        <w:tc>
          <w:tcPr>
            <w:tcW w:type="dxa" w:w="2484"/>
            <w:shd w:fill="1F4E79"/>
          </w:tcPr>
          <w:p>
            <w:r>
              <w:rPr>
                <w:b/>
                <w:color w:val="FFFFFF"/>
              </w:rPr>
              <w:t>Evidence</w:t>
            </w:r>
          </w:p>
        </w:tc>
        <w:tc>
          <w:tcPr>
            <w:tcW w:type="dxa" w:w="2484"/>
            <w:shd w:fill="1F4E79"/>
          </w:tcPr>
          <w:p>
            <w:r>
              <w:rPr>
                <w:b/>
                <w:color w:val="FFFFFF"/>
              </w:rPr>
              <w:t>Permitted use</w:t>
            </w:r>
          </w:p>
        </w:tc>
        <w:tc>
          <w:tcPr>
            <w:tcW w:type="dxa" w:w="2484"/>
            <w:shd w:fill="1F4E79"/>
          </w:tcPr>
          <w:p>
            <w:r>
              <w:rPr>
                <w:b/>
                <w:color w:val="FFFFFF"/>
              </w:rPr>
              <w:t>Claim weight</w:t>
            </w:r>
          </w:p>
        </w:tc>
      </w:tr>
      <w:tr>
        <w:tc>
          <w:tcPr>
            <w:tcW w:type="dxa" w:w="2484"/>
          </w:tcPr>
          <w:p>
            <w:r>
              <w:t>1</w:t>
            </w:r>
          </w:p>
        </w:tc>
        <w:tc>
          <w:tcPr>
            <w:tcW w:type="dxa" w:w="2484"/>
          </w:tcPr>
          <w:p>
            <w:r>
              <w:t>Meta-analyses / systematic reviews</w:t>
            </w:r>
          </w:p>
        </w:tc>
        <w:tc>
          <w:tcPr>
            <w:tcW w:type="dxa" w:w="2484"/>
          </w:tcPr>
          <w:p>
            <w:r>
              <w:t>Constructs and generalizable relationships</w:t>
            </w:r>
          </w:p>
        </w:tc>
        <w:tc>
          <w:tcPr>
            <w:tcW w:type="dxa" w:w="2484"/>
          </w:tcPr>
          <w:p>
            <w:r>
              <w:t>Primary</w:t>
            </w:r>
          </w:p>
        </w:tc>
      </w:tr>
      <w:tr>
        <w:tc>
          <w:tcPr>
            <w:tcW w:type="dxa" w:w="2484"/>
          </w:tcPr>
          <w:p>
            <w:r>
              <w:t>2</w:t>
            </w:r>
          </w:p>
        </w:tc>
        <w:tc>
          <w:tcPr>
            <w:tcW w:type="dxa" w:w="2484"/>
          </w:tcPr>
          <w:p>
            <w:r>
              <w:t>Government/public datasets</w:t>
            </w:r>
          </w:p>
        </w:tc>
        <w:tc>
          <w:tcPr>
            <w:tcW w:type="dxa" w:w="2484"/>
          </w:tcPr>
          <w:p>
            <w:r>
              <w:t>Scale, occupation, labor-market context</w:t>
            </w:r>
          </w:p>
        </w:tc>
        <w:tc>
          <w:tcPr>
            <w:tcW w:type="dxa" w:w="2484"/>
          </w:tcPr>
          <w:p>
            <w:r>
              <w:t>Primary</w:t>
            </w:r>
          </w:p>
        </w:tc>
      </w:tr>
      <w:tr>
        <w:tc>
          <w:tcPr>
            <w:tcW w:type="dxa" w:w="2484"/>
          </w:tcPr>
          <w:p>
            <w:r>
              <w:t>3</w:t>
            </w:r>
          </w:p>
        </w:tc>
        <w:tc>
          <w:tcPr>
            <w:tcW w:type="dxa" w:w="2484"/>
          </w:tcPr>
          <w:p>
            <w:r>
              <w:t>Peer-reviewed empirical studies</w:t>
            </w:r>
          </w:p>
        </w:tc>
        <w:tc>
          <w:tcPr>
            <w:tcW w:type="dxa" w:w="2484"/>
          </w:tcPr>
          <w:p>
            <w:r>
              <w:t>Mechanisms and tested relationships</w:t>
            </w:r>
          </w:p>
        </w:tc>
        <w:tc>
          <w:tcPr>
            <w:tcW w:type="dxa" w:w="2484"/>
          </w:tcPr>
          <w:p>
            <w:r>
              <w:t>Strong</w:t>
            </w:r>
          </w:p>
        </w:tc>
      </w:tr>
      <w:tr>
        <w:tc>
          <w:tcPr>
            <w:tcW w:type="dxa" w:w="2484"/>
          </w:tcPr>
          <w:p>
            <w:r>
              <w:t>4</w:t>
            </w:r>
          </w:p>
        </w:tc>
        <w:tc>
          <w:tcPr>
            <w:tcW w:type="dxa" w:w="2484"/>
          </w:tcPr>
          <w:p>
            <w:r>
              <w:t>Transparent independent benchmarks</w:t>
            </w:r>
          </w:p>
        </w:tc>
        <w:tc>
          <w:tcPr>
            <w:tcW w:type="dxa" w:w="2484"/>
          </w:tcPr>
          <w:p>
            <w:r>
              <w:t>Contact-center prevalence/context</w:t>
            </w:r>
          </w:p>
        </w:tc>
        <w:tc>
          <w:tcPr>
            <w:tcW w:type="dxa" w:w="2484"/>
          </w:tcPr>
          <w:p>
            <w:r>
              <w:t>Strong contextual</w:t>
            </w:r>
          </w:p>
        </w:tc>
      </w:tr>
      <w:tr>
        <w:tc>
          <w:tcPr>
            <w:tcW w:type="dxa" w:w="2484"/>
          </w:tcPr>
          <w:p>
            <w:r>
              <w:t>5</w:t>
            </w:r>
          </w:p>
        </w:tc>
        <w:tc>
          <w:tcPr>
            <w:tcW w:type="dxa" w:w="2484"/>
          </w:tcPr>
          <w:p>
            <w:r>
              <w:t>Large consulting research</w:t>
            </w:r>
          </w:p>
        </w:tc>
        <w:tc>
          <w:tcPr>
            <w:tcW w:type="dxa" w:w="2484"/>
          </w:tcPr>
          <w:p>
            <w:r>
              <w:t>Cross-company context</w:t>
            </w:r>
          </w:p>
        </w:tc>
        <w:tc>
          <w:tcPr>
            <w:tcW w:type="dxa" w:w="2484"/>
          </w:tcPr>
          <w:p>
            <w:r>
              <w:t>Supporting</w:t>
            </w:r>
          </w:p>
        </w:tc>
      </w:tr>
      <w:tr>
        <w:tc>
          <w:tcPr>
            <w:tcW w:type="dxa" w:w="2484"/>
          </w:tcPr>
          <w:p>
            <w:r>
              <w:t>6</w:t>
            </w:r>
          </w:p>
        </w:tc>
        <w:tc>
          <w:tcPr>
            <w:tcW w:type="dxa" w:w="2484"/>
          </w:tcPr>
          <w:p>
            <w:r>
              <w:t>Vendor surveys/case reports</w:t>
            </w:r>
          </w:p>
        </w:tc>
        <w:tc>
          <w:tcPr>
            <w:tcW w:type="dxa" w:w="2484"/>
          </w:tcPr>
          <w:p>
            <w:r>
              <w:t>Examples and intervention signals only</w:t>
            </w:r>
          </w:p>
        </w:tc>
        <w:tc>
          <w:tcPr>
            <w:tcW w:type="dxa" w:w="2484"/>
          </w:tcPr>
          <w:p>
            <w:r>
              <w:t>Illustrative</w:t>
            </w:r>
          </w:p>
        </w:tc>
      </w:tr>
      <w:tr>
        <w:tc>
          <w:tcPr>
            <w:tcW w:type="dxa" w:w="2484"/>
          </w:tcPr>
          <w:p>
            <w:r>
              <w:t>7</w:t>
            </w:r>
          </w:p>
        </w:tc>
        <w:tc>
          <w:tcPr>
            <w:tcW w:type="dxa" w:w="2484"/>
          </w:tcPr>
          <w:p>
            <w:r>
              <w:t>ResolveCX primary data</w:t>
            </w:r>
          </w:p>
        </w:tc>
        <w:tc>
          <w:tcPr>
            <w:tcW w:type="dxa" w:w="2484"/>
          </w:tcPr>
          <w:p>
            <w:r>
              <w:t>Study-specific inference after QA/analysis</w:t>
            </w:r>
          </w:p>
        </w:tc>
        <w:tc>
          <w:tcPr>
            <w:tcW w:type="dxa" w:w="2484"/>
          </w:tcPr>
          <w:p>
            <w:r>
              <w:t>Potentially decisive</w:t>
            </w:r>
          </w:p>
        </w:tc>
      </w:tr>
    </w:tbl>
    <w:p>
      <w:pPr>
        <w:pStyle w:val="Heading1"/>
      </w:pPr>
      <w:r>
        <w:t>5. Hypothesis Register</w:t>
      </w:r>
    </w:p>
    <w:p>
      <w:r>
        <w:rPr>
          <w:b/>
        </w:rPr>
        <w:t>H1 — Expectation Alignment</w:t>
      </w:r>
      <w:r>
        <w:br/>
        <w:t>Greater alignment between pre-employment expectations and production reality predicts stronger adjustment and higher early retention.</w:t>
      </w:r>
    </w:p>
    <w:p>
      <w:r>
        <w:rPr>
          <w:b/>
        </w:rPr>
        <w:t>H2 — Newcomer Adjustment</w:t>
      </w:r>
      <w:r>
        <w:br/>
        <w:t>Role clarity, task self-efficacy/mastery, and social acceptance predict successful production transition and subsequent survival.</w:t>
      </w:r>
    </w:p>
    <w:p>
      <w:r>
        <w:rPr>
          <w:b/>
        </w:rPr>
        <w:t>H3 — Production Transition</w:t>
      </w:r>
      <w:r>
        <w:br/>
        <w:t>The training-to-production transition is a distinct period of elevated withdrawal, performance difficulty, and attrition risk.</w:t>
      </w:r>
    </w:p>
    <w:p>
      <w:r>
        <w:rPr>
          <w:b/>
        </w:rPr>
        <w:t>H4 — Operational Literacy</w:t>
      </w:r>
      <w:r>
        <w:br/>
        <w:t>Greater understanding of how individual behaviors connect to operational metrics and business/customer outcomes predicts stronger adjustment and engagement. This remains exploratory until sufficient evidence is collected.</w:t>
      </w:r>
    </w:p>
    <w:p>
      <w:r>
        <w:rPr>
          <w:b/>
        </w:rPr>
        <w:t>H5 — Emotional Readiness</w:t>
      </w:r>
      <w:r>
        <w:br/>
        <w:t>Greater emotional-regulation capability and realistic preparation for sustained customer-facing emotional labor predict lower exhaustion and stronger survival.</w:t>
      </w:r>
    </w:p>
    <w:p>
      <w:r>
        <w:rPr>
          <w:b/>
        </w:rPr>
        <w:t>H6 — Support Environment</w:t>
      </w:r>
      <w:r>
        <w:br/>
        <w:t>Supervisor coaching, organizational support, psychological safety, and peer integration moderate the effect of frontline job demands.</w:t>
      </w:r>
    </w:p>
    <w:p>
      <w:r>
        <w:rPr>
          <w:b/>
        </w:rPr>
        <w:t>H7 — Adaptability &amp; Career Agency</w:t>
      </w:r>
      <w:r>
        <w:br/>
        <w:t>Learning adaptability, tolerance of change, and perceived career mobility predict stronger longer-term adjustment and retention.</w:t>
      </w:r>
    </w:p>
    <w:p>
      <w:pPr>
        <w:pStyle w:val="Heading1"/>
      </w:pPr>
      <w:r>
        <w:t>6. Outcome Definitions</w:t>
      </w:r>
    </w:p>
    <w:p>
      <w:r>
        <w:t>Retention alone is not defined as successful survival. Study #001 will track four outcome domains:</w:t>
      </w:r>
    </w:p>
    <w:p>
      <w:pPr>
        <w:pStyle w:val="ListBullet"/>
      </w:pPr>
      <w:r>
        <w:t>Employment — still employed at the defined measurement point.</w:t>
      </w:r>
    </w:p>
    <w:p>
      <w:pPr>
        <w:pStyle w:val="ListBullet"/>
      </w:pPr>
      <w:r>
        <w:t>Proficiency — reached an employer-defined or study-defined proficiency threshold.</w:t>
      </w:r>
    </w:p>
    <w:p>
      <w:pPr>
        <w:pStyle w:val="ListBullet"/>
      </w:pPr>
      <w:r>
        <w:t>Adjustment — role clarity, task confidence/mastery, and integration.</w:t>
      </w:r>
    </w:p>
    <w:p>
      <w:pPr>
        <w:pStyle w:val="ListBullet"/>
      </w:pPr>
      <w:r>
        <w:t>Sustainability — absence of severe withdrawal indicators such as chronic absenteeism, high intention to leave, or persistent disengagement.</w:t>
      </w:r>
    </w:p>
    <w:p>
      <w:pPr>
        <w:pStyle w:val="Heading1"/>
      </w:pPr>
      <w:r>
        <w:t>7. Core Constructs and Candidate Measures</w:t>
      </w:r>
    </w:p>
    <w:tbl>
      <w:tblPr>
        <w:tblStyle w:val="TableGrid"/>
        <w:tblW w:type="auto" w:w="0"/>
        <w:tblLook w:firstColumn="1" w:firstRow="1" w:lastColumn="0" w:lastRow="0" w:noHBand="0" w:noVBand="1" w:val="04A0"/>
      </w:tblPr>
      <w:tblGrid>
        <w:gridCol w:w="4968"/>
        <w:gridCol w:w="4968"/>
      </w:tblGrid>
      <w:tr>
        <w:tc>
          <w:tcPr>
            <w:tcW w:type="dxa" w:w="4968"/>
            <w:shd w:fill="1F4E79"/>
          </w:tcPr>
          <w:p>
            <w:r>
              <w:rPr>
                <w:b/>
                <w:color w:val="FFFFFF"/>
              </w:rPr>
              <w:t>Construct</w:t>
            </w:r>
          </w:p>
        </w:tc>
        <w:tc>
          <w:tcPr>
            <w:tcW w:type="dxa" w:w="4968"/>
            <w:shd w:fill="1F4E79"/>
          </w:tcPr>
          <w:p>
            <w:r>
              <w:rPr>
                <w:b/>
                <w:color w:val="FFFFFF"/>
              </w:rPr>
              <w:t>Operationalization direction</w:t>
            </w:r>
          </w:p>
        </w:tc>
      </w:tr>
      <w:tr>
        <w:tc>
          <w:tcPr>
            <w:tcW w:type="dxa" w:w="4968"/>
          </w:tcPr>
          <w:p>
            <w:r>
              <w:t>Expectation–Reality Alignment</w:t>
            </w:r>
          </w:p>
        </w:tc>
        <w:tc>
          <w:tcPr>
            <w:tcW w:type="dxa" w:w="4968"/>
          </w:tcPr>
          <w:p>
            <w:r>
              <w:t>Expected versus experienced pace, emotional intensity, monitoring, schedule rigidity, technology complexity, autonomy, customer hostility, metric accountability, change frequency, and career opportunity.</w:t>
            </w:r>
          </w:p>
        </w:tc>
      </w:tr>
      <w:tr>
        <w:tc>
          <w:tcPr>
            <w:tcW w:type="dxa" w:w="4968"/>
          </w:tcPr>
          <w:p>
            <w:r>
              <w:t>Operational Literacy</w:t>
            </w:r>
          </w:p>
        </w:tc>
        <w:tc>
          <w:tcPr>
            <w:tcW w:type="dxa" w:w="4968"/>
          </w:tcPr>
          <w:p>
            <w:r>
              <w:t>Understanding of demand, capacity, staffing, shrinkage, adherence, availability, service level, abandonment, AHT, FCR, QA, CX, cost, and revenue relationships.</w:t>
            </w:r>
          </w:p>
        </w:tc>
      </w:tr>
      <w:tr>
        <w:tc>
          <w:tcPr>
            <w:tcW w:type="dxa" w:w="4968"/>
          </w:tcPr>
          <w:p>
            <w:r>
              <w:t>Emotional Readiness</w:t>
            </w:r>
          </w:p>
        </w:tc>
        <w:tc>
          <w:tcPr>
            <w:tcW w:type="dxa" w:w="4968"/>
          </w:tcPr>
          <w:p>
            <w:r>
              <w:t>Emotional regulation, recovery, de-escalation, perspective taking, and healthy coping under repeated customer-facing demands.</w:t>
            </w:r>
          </w:p>
        </w:tc>
      </w:tr>
      <w:tr>
        <w:tc>
          <w:tcPr>
            <w:tcW w:type="dxa" w:w="4968"/>
          </w:tcPr>
          <w:p>
            <w:r>
              <w:t>Adaptability</w:t>
            </w:r>
          </w:p>
        </w:tc>
        <w:tc>
          <w:tcPr>
            <w:tcW w:type="dxa" w:w="4968"/>
          </w:tcPr>
          <w:p>
            <w:r>
              <w:t>Learning agility, uncertainty tolerance, response to changing systems/processes, and recovery from failed first solutions.</w:t>
            </w:r>
          </w:p>
        </w:tc>
      </w:tr>
      <w:tr>
        <w:tc>
          <w:tcPr>
            <w:tcW w:type="dxa" w:w="4968"/>
          </w:tcPr>
          <w:p>
            <w:r>
              <w:t>Support Environment</w:t>
            </w:r>
          </w:p>
        </w:tc>
        <w:tc>
          <w:tcPr>
            <w:tcW w:type="dxa" w:w="4968"/>
          </w:tcPr>
          <w:p>
            <w:r>
              <w:t>Supervisor coaching, peer support, psychological safety, feedback quality, and organizational support.</w:t>
            </w:r>
          </w:p>
        </w:tc>
      </w:tr>
      <w:tr>
        <w:tc>
          <w:tcPr>
            <w:tcW w:type="dxa" w:w="4968"/>
          </w:tcPr>
          <w:p>
            <w:r>
              <w:t>Career Agency</w:t>
            </w:r>
          </w:p>
        </w:tc>
        <w:tc>
          <w:tcPr>
            <w:tcW w:type="dxa" w:w="4968"/>
          </w:tcPr>
          <w:p>
            <w:r>
              <w:t>Visibility of pathways, development orientation, perceived mobility, and intent to build transferable skills.</w:t>
            </w:r>
          </w:p>
        </w:tc>
      </w:tr>
    </w:tbl>
    <w:p>
      <w:pPr>
        <w:pStyle w:val="Heading1"/>
      </w:pPr>
      <w:r>
        <w:t>8. Data Collection Architecture</w:t>
      </w:r>
    </w:p>
    <w:tbl>
      <w:tblPr>
        <w:tblStyle w:val="TableGrid"/>
        <w:tblW w:type="auto" w:w="0"/>
        <w:tblLook w:firstColumn="1" w:firstRow="1" w:lastColumn="0" w:lastRow="0" w:noHBand="0" w:noVBand="1" w:val="04A0"/>
      </w:tblPr>
      <w:tblGrid>
        <w:gridCol w:w="3312"/>
        <w:gridCol w:w="3312"/>
        <w:gridCol w:w="3312"/>
      </w:tblGrid>
      <w:tr>
        <w:tc>
          <w:tcPr>
            <w:tcW w:type="dxa" w:w="3312"/>
            <w:shd w:fill="1F4E79"/>
          </w:tcPr>
          <w:p>
            <w:r>
              <w:rPr>
                <w:b/>
                <w:color w:val="FFFFFF"/>
              </w:rPr>
              <w:t>Channel</w:t>
            </w:r>
          </w:p>
        </w:tc>
        <w:tc>
          <w:tcPr>
            <w:tcW w:type="dxa" w:w="3312"/>
            <w:shd w:fill="1F4E79"/>
          </w:tcPr>
          <w:p>
            <w:r>
              <w:rPr>
                <w:b/>
                <w:color w:val="FFFFFF"/>
              </w:rPr>
              <w:t>Burden</w:t>
            </w:r>
          </w:p>
        </w:tc>
        <w:tc>
          <w:tcPr>
            <w:tcW w:type="dxa" w:w="3312"/>
            <w:shd w:fill="1F4E79"/>
          </w:tcPr>
          <w:p>
            <w:r>
              <w:rPr>
                <w:b/>
                <w:color w:val="FFFFFF"/>
              </w:rPr>
              <w:t>Research role</w:t>
            </w:r>
          </w:p>
        </w:tc>
      </w:tr>
      <w:tr>
        <w:tc>
          <w:tcPr>
            <w:tcW w:type="dxa" w:w="3312"/>
          </w:tcPr>
          <w:p>
            <w:r>
              <w:t>Level 1 — Discovery micro-polls</w:t>
            </w:r>
          </w:p>
        </w:tc>
        <w:tc>
          <w:tcPr>
            <w:tcW w:type="dxa" w:w="3312"/>
          </w:tcPr>
          <w:p>
            <w:r>
              <w:t>60–90 seconds</w:t>
            </w:r>
          </w:p>
        </w:tc>
        <w:tc>
          <w:tcPr>
            <w:tcW w:type="dxa" w:w="3312"/>
          </w:tcPr>
          <w:p>
            <w:r>
              <w:t>Generate themes; never treated as representative prevalence evidence.</w:t>
            </w:r>
          </w:p>
        </w:tc>
      </w:tr>
      <w:tr>
        <w:tc>
          <w:tcPr>
            <w:tcW w:type="dxa" w:w="3312"/>
          </w:tcPr>
          <w:p>
            <w:r>
              <w:t>Level 2 — Frontline Pulse</w:t>
            </w:r>
          </w:p>
        </w:tc>
        <w:tc>
          <w:tcPr>
            <w:tcW w:type="dxa" w:w="3312"/>
          </w:tcPr>
          <w:p>
            <w:r>
              <w:t>~5 minutes</w:t>
            </w:r>
          </w:p>
        </w:tc>
        <w:tc>
          <w:tcPr>
            <w:tcW w:type="dxa" w:w="3312"/>
          </w:tcPr>
          <w:p>
            <w:r>
              <w:t>High-volume structured screening and hypothesis discovery.</w:t>
            </w:r>
          </w:p>
        </w:tc>
      </w:tr>
      <w:tr>
        <w:tc>
          <w:tcPr>
            <w:tcW w:type="dxa" w:w="3312"/>
          </w:tcPr>
          <w:p>
            <w:r>
              <w:t>Level 3 — Research Survey</w:t>
            </w:r>
          </w:p>
        </w:tc>
        <w:tc>
          <w:tcPr>
            <w:tcW w:type="dxa" w:w="3312"/>
          </w:tcPr>
          <w:p>
            <w:r>
              <w:t>~12–15 minutes</w:t>
            </w:r>
          </w:p>
        </w:tc>
        <w:tc>
          <w:tcPr>
            <w:tcW w:type="dxa" w:w="3312"/>
          </w:tcPr>
          <w:p>
            <w:r>
              <w:t>Branching survey for frontline, early leavers, supervisors/trainers, and leaders.</w:t>
            </w:r>
          </w:p>
        </w:tc>
      </w:tr>
      <w:tr>
        <w:tc>
          <w:tcPr>
            <w:tcW w:type="dxa" w:w="3312"/>
          </w:tcPr>
          <w:p>
            <w:r>
              <w:t>Level 4 — Structured Interviews</w:t>
            </w:r>
          </w:p>
        </w:tc>
        <w:tc>
          <w:tcPr>
            <w:tcW w:type="dxa" w:w="3312"/>
          </w:tcPr>
          <w:p>
            <w:r>
              <w:t>20–30 minutes</w:t>
            </w:r>
          </w:p>
        </w:tc>
        <w:tc>
          <w:tcPr>
            <w:tcW w:type="dxa" w:w="3312"/>
          </w:tcPr>
          <w:p>
            <w:r>
              <w:t>Common core questions plus probes; coded qualitative analysis.</w:t>
            </w:r>
          </w:p>
        </w:tc>
      </w:tr>
      <w:tr>
        <w:tc>
          <w:tcPr>
            <w:tcW w:type="dxa" w:w="3312"/>
          </w:tcPr>
          <w:p>
            <w:r>
              <w:t>Level 5 — Employer Cohort Data</w:t>
            </w:r>
          </w:p>
        </w:tc>
        <w:tc>
          <w:tcPr>
            <w:tcW w:type="dxa" w:w="3312"/>
          </w:tcPr>
          <w:p>
            <w:r>
              <w:t>Aggregated/de-identified</w:t>
            </w:r>
          </w:p>
        </w:tc>
        <w:tc>
          <w:tcPr>
            <w:tcW w:type="dxa" w:w="3312"/>
          </w:tcPr>
          <w:p>
            <w:r>
              <w:t>Training completion, production transition, D30/D60/D90/M6/M12 survival and available operational outcomes.</w:t>
            </w:r>
          </w:p>
        </w:tc>
      </w:tr>
      <w:tr>
        <w:tc>
          <w:tcPr>
            <w:tcW w:type="dxa" w:w="3312"/>
          </w:tcPr>
          <w:p>
            <w:r>
              <w:t>Level 6 — Longitudinal Panel</w:t>
            </w:r>
          </w:p>
        </w:tc>
        <w:tc>
          <w:tcPr>
            <w:tcW w:type="dxa" w:w="3312"/>
          </w:tcPr>
          <w:p>
            <w:r>
              <w:t>T0–T5</w:t>
            </w:r>
          </w:p>
        </w:tc>
        <w:tc>
          <w:tcPr>
            <w:tcW w:type="dxa" w:w="3312"/>
          </w:tcPr>
          <w:p>
            <w:r>
              <w:t>Follow the same participants from pre-production through 12 months.</w:t>
            </w:r>
          </w:p>
        </w:tc>
      </w:tr>
    </w:tbl>
    <w:p>
      <w:pPr>
        <w:pStyle w:val="Heading1"/>
      </w:pPr>
      <w:r>
        <w:t>9. Initial Sampling Milestone</w:t>
      </w:r>
    </w:p>
    <w:p>
      <w:r>
        <w:t>Phase I targets are exploratory milestones, not thresholds for claiming population representativeness. The initial objective is diversity of organizations, industries, tenure outcomes, and perspectives.</w:t>
      </w:r>
    </w:p>
    <w:p>
      <w:pPr>
        <w:pStyle w:val="ListBullet"/>
      </w:pPr>
      <w:r>
        <w:t>100+ frontline respondents across multiple employers.</w:t>
      </w:r>
    </w:p>
    <w:p>
      <w:pPr>
        <w:pStyle w:val="ListBullet"/>
      </w:pPr>
      <w:r>
        <w:t>25+ people who left within their first 12 months.</w:t>
      </w:r>
    </w:p>
    <w:p>
      <w:pPr>
        <w:pStyle w:val="ListBullet"/>
      </w:pPr>
      <w:r>
        <w:t>20+ supervisors.</w:t>
      </w:r>
    </w:p>
    <w:p>
      <w:pPr>
        <w:pStyle w:val="ListBullet"/>
      </w:pPr>
      <w:r>
        <w:t>10+ L&amp;D/trainers.</w:t>
      </w:r>
    </w:p>
    <w:p>
      <w:pPr>
        <w:pStyle w:val="ListBullet"/>
      </w:pPr>
      <w:r>
        <w:t>10+ WFM/operations leaders.</w:t>
      </w:r>
    </w:p>
    <w:p>
      <w:pPr>
        <w:pStyle w:val="ListBullet"/>
      </w:pPr>
      <w:r>
        <w:t>10+ HR/recruiting leaders.</w:t>
      </w:r>
    </w:p>
    <w:p>
      <w:pPr>
        <w:pStyle w:val="ListBullet"/>
      </w:pPr>
      <w:r>
        <w:t>At least five industries and multiple employers before cross-industry comparisons are described.</w:t>
      </w:r>
    </w:p>
    <w:p>
      <w:pPr>
        <w:pStyle w:val="Heading1"/>
      </w:pPr>
      <w:r>
        <w:t>10. Confounders and Covariates</w:t>
      </w:r>
    </w:p>
    <w:p>
      <w:r>
        <w:t>At minimum, analyses should consider compensation/wage band, schedule, work arrangement, industry, employer, job complexity, prior contact-center experience, training duration, manager/supervisor context, cohort size, employment status, and relevant labor-market conditions. Association must not be described as causation.</w:t>
      </w:r>
    </w:p>
    <w:p>
      <w:pPr>
        <w:pStyle w:val="Heading1"/>
      </w:pPr>
      <w:r>
        <w:t>11. Survey Quality Gate</w:t>
      </w:r>
    </w:p>
    <w:p>
      <w:pPr>
        <w:pStyle w:val="ListBullet"/>
      </w:pPr>
      <w:r>
        <w:t>Use established/validated measures where appropriate and licensing permits.</w:t>
      </w:r>
    </w:p>
    <w:p>
      <w:pPr>
        <w:pStyle w:val="ListBullet"/>
      </w:pPr>
      <w:r>
        <w:t>Pretest new questions with cognitive interviews before production use.</w:t>
      </w:r>
    </w:p>
    <w:p>
      <w:pPr>
        <w:pStyle w:val="ListBullet"/>
      </w:pPr>
      <w:r>
        <w:t>Avoid double-barreled, leading, loaded, or unnecessarily technical wording.</w:t>
      </w:r>
    </w:p>
    <w:p>
      <w:pPr>
        <w:pStyle w:val="ListBullet"/>
      </w:pPr>
      <w:r>
        <w:t>Use mutually exclusive and collectively appropriate response options.</w:t>
      </w:r>
    </w:p>
    <w:p>
      <w:pPr>
        <w:pStyle w:val="ListBullet"/>
      </w:pPr>
      <w:r>
        <w:t>Preserve wording and order for longitudinal trend items unless a documented change is required.</w:t>
      </w:r>
    </w:p>
    <w:p>
      <w:pPr>
        <w:pStyle w:val="ListBullet"/>
      </w:pPr>
      <w:r>
        <w:t>Use branching logic to minimize respondent burden.</w:t>
      </w:r>
    </w:p>
    <w:p>
      <w:pPr>
        <w:pStyle w:val="ListBullet"/>
      </w:pPr>
      <w:r>
        <w:t>Record instrument version with every response.</w:t>
      </w:r>
    </w:p>
    <w:p>
      <w:pPr>
        <w:pStyle w:val="ListBullet"/>
      </w:pPr>
      <w:r>
        <w:t>Pilot before scaling; document every substantive change.</w:t>
      </w:r>
    </w:p>
    <w:p>
      <w:pPr>
        <w:pStyle w:val="Heading1"/>
      </w:pPr>
      <w:r>
        <w:t>12. Falsification Register</w:t>
      </w:r>
    </w:p>
    <w:tbl>
      <w:tblPr>
        <w:tblStyle w:val="TableGrid"/>
        <w:tblW w:type="auto" w:w="0"/>
        <w:tblLook w:firstColumn="1" w:firstRow="1" w:lastColumn="0" w:lastRow="0" w:noHBand="0" w:noVBand="1" w:val="04A0"/>
      </w:tblPr>
      <w:tblGrid>
        <w:gridCol w:w="3312"/>
        <w:gridCol w:w="3312"/>
        <w:gridCol w:w="3312"/>
      </w:tblGrid>
      <w:tr>
        <w:tc>
          <w:tcPr>
            <w:tcW w:type="dxa" w:w="3312"/>
            <w:shd w:fill="7F1D1D"/>
          </w:tcPr>
          <w:p>
            <w:r>
              <w:rPr>
                <w:b/>
                <w:color w:val="FFFFFF"/>
              </w:rPr>
              <w:t>Disconfirming condition</w:t>
            </w:r>
          </w:p>
        </w:tc>
        <w:tc>
          <w:tcPr>
            <w:tcW w:type="dxa" w:w="3312"/>
            <w:shd w:fill="7F1D1D"/>
          </w:tcPr>
          <w:p>
            <w:r>
              <w:rPr>
                <w:b/>
                <w:color w:val="FFFFFF"/>
              </w:rPr>
              <w:t>Evidence pattern</w:t>
            </w:r>
          </w:p>
        </w:tc>
        <w:tc>
          <w:tcPr>
            <w:tcW w:type="dxa" w:w="3312"/>
            <w:shd w:fill="7F1D1D"/>
          </w:tcPr>
          <w:p>
            <w:r>
              <w:rPr>
                <w:b/>
                <w:color w:val="FFFFFF"/>
              </w:rPr>
              <w:t>Required response</w:t>
            </w:r>
          </w:p>
        </w:tc>
      </w:tr>
      <w:tr>
        <w:tc>
          <w:tcPr>
            <w:tcW w:type="dxa" w:w="3312"/>
          </w:tcPr>
          <w:p>
            <w:r>
              <w:t>Readiness adds little</w:t>
            </w:r>
          </w:p>
        </w:tc>
        <w:tc>
          <w:tcPr>
            <w:tcW w:type="dxa" w:w="3312"/>
          </w:tcPr>
          <w:p>
            <w:r>
              <w:t>After accounting for pay, schedule, leadership, job design, and employer effects, readiness variables show little or no relationship with meaningful outcomes.</w:t>
            </w:r>
          </w:p>
        </w:tc>
        <w:tc>
          <w:tcPr>
            <w:tcW w:type="dxa" w:w="3312"/>
          </w:tcPr>
          <w:p>
            <w:r>
              <w:t>Weakens the pre-employment readiness thesis.</w:t>
            </w:r>
          </w:p>
        </w:tc>
      </w:tr>
      <w:tr>
        <w:tc>
          <w:tcPr>
            <w:tcW w:type="dxa" w:w="3312"/>
          </w:tcPr>
          <w:p>
            <w:r>
              <w:t>High readiness does not predict survival</w:t>
            </w:r>
          </w:p>
        </w:tc>
        <w:tc>
          <w:tcPr>
            <w:tcW w:type="dxa" w:w="3312"/>
          </w:tcPr>
          <w:p>
            <w:r>
              <w:t>Participants with stronger readiness scores survive/progress no better than lower-scoring peers.</w:t>
            </w:r>
          </w:p>
        </w:tc>
        <w:tc>
          <w:tcPr>
            <w:tcW w:type="dxa" w:w="3312"/>
          </w:tcPr>
          <w:p>
            <w:r>
              <w:t>Assessment model must be rejected or redesigned.</w:t>
            </w:r>
          </w:p>
        </w:tc>
      </w:tr>
      <w:tr>
        <w:tc>
          <w:tcPr>
            <w:tcW w:type="dxa" w:w="3312"/>
          </w:tcPr>
          <w:p>
            <w:r>
              <w:t>Employer onboarding already closes the gap</w:t>
            </w:r>
          </w:p>
        </w:tc>
        <w:tc>
          <w:tcPr>
            <w:tcW w:type="dxa" w:w="3312"/>
          </w:tcPr>
          <w:p>
            <w:r>
              <w:t>Strong onboarding eliminates meaningful incremental readiness differences.</w:t>
            </w:r>
          </w:p>
        </w:tc>
        <w:tc>
          <w:tcPr>
            <w:tcW w:type="dxa" w:w="3312"/>
          </w:tcPr>
          <w:p>
            <w:r>
              <w:t>ResolveCX pre-employment value proposition is weakened for those environments.</w:t>
            </w:r>
          </w:p>
        </w:tc>
      </w:tr>
      <w:tr>
        <w:tc>
          <w:tcPr>
            <w:tcW w:type="dxa" w:w="3312"/>
          </w:tcPr>
          <w:p>
            <w:r>
              <w:t>Confidence improves but outcomes do not</w:t>
            </w:r>
          </w:p>
        </w:tc>
        <w:tc>
          <w:tcPr>
            <w:tcW w:type="dxa" w:w="3312"/>
          </w:tcPr>
          <w:p>
            <w:r>
              <w:t>Participants report feeling better prepared but show no improvement in proficiency, attendance, adjustment, or retention.</w:t>
            </w:r>
          </w:p>
        </w:tc>
        <w:tc>
          <w:tcPr>
            <w:tcW w:type="dxa" w:w="3312"/>
          </w:tcPr>
          <w:p>
            <w:r>
              <w:t>No employer ROI claim permitted.</w:t>
            </w:r>
          </w:p>
        </w:tc>
      </w:tr>
      <w:tr>
        <w:tc>
          <w:tcPr>
            <w:tcW w:type="dxa" w:w="3312"/>
          </w:tcPr>
          <w:p>
            <w:r>
              <w:t>Effects do not generalize</w:t>
            </w:r>
          </w:p>
        </w:tc>
        <w:tc>
          <w:tcPr>
            <w:tcW w:type="dxa" w:w="3312"/>
          </w:tcPr>
          <w:p>
            <w:r>
              <w:t>Relationships appear in one employer/industry but fail elsewhere.</w:t>
            </w:r>
          </w:p>
        </w:tc>
        <w:tc>
          <w:tcPr>
            <w:tcW w:type="dxa" w:w="3312"/>
          </w:tcPr>
          <w:p>
            <w:r>
              <w:t>Claims restricted to supported contexts.</w:t>
            </w:r>
          </w:p>
        </w:tc>
      </w:tr>
    </w:tbl>
    <w:p>
      <w:pPr>
        <w:pStyle w:val="Heading1"/>
      </w:pPr>
      <w:r>
        <w:t>13. Analysis Plan — Pre-Commitment</w:t>
      </w:r>
    </w:p>
    <w:p>
      <w:pPr>
        <w:pStyle w:val="ListBullet"/>
      </w:pPr>
      <w:r>
        <w:t>Descriptive statistics and missing-data profile before hypothesis testing.</w:t>
      </w:r>
    </w:p>
    <w:p>
      <w:pPr>
        <w:pStyle w:val="ListBullet"/>
      </w:pPr>
      <w:r>
        <w:t>Reliability testing for multi-item scales before creating composite scores.</w:t>
      </w:r>
    </w:p>
    <w:p>
      <w:pPr>
        <w:pStyle w:val="ListBullet"/>
      </w:pPr>
      <w:r>
        <w:t>Exploratory factor analysis for new proprietary constructs; confirmatory testing reserved for later samples.</w:t>
      </w:r>
    </w:p>
    <w:p>
      <w:pPr>
        <w:pStyle w:val="ListBullet"/>
      </w:pPr>
      <w:r>
        <w:t>Survival analysis/time-to-event methods when individual longitudinal data permit.</w:t>
      </w:r>
    </w:p>
    <w:p>
      <w:pPr>
        <w:pStyle w:val="ListBullet"/>
      </w:pPr>
      <w:r>
        <w:t>Multivariable models controlling for pre-specified covariates; employer/industry clustering handled when sample structure permits.</w:t>
      </w:r>
    </w:p>
    <w:p>
      <w:pPr>
        <w:pStyle w:val="ListBullet"/>
      </w:pPr>
      <w:r>
        <w:t>Qualitative interviews coded using a documented codebook; retain negative/deviant cases.</w:t>
      </w:r>
    </w:p>
    <w:p>
      <w:pPr>
        <w:pStyle w:val="ListBullet"/>
      </w:pPr>
      <w:r>
        <w:t>Report effect sizes and uncertainty intervals, not only statistical significance.</w:t>
      </w:r>
    </w:p>
    <w:p>
      <w:pPr>
        <w:pStyle w:val="ListBullet"/>
      </w:pPr>
      <w:r>
        <w:t>Correct or clearly disclose multiple-testing risk.</w:t>
      </w:r>
    </w:p>
    <w:p>
      <w:pPr>
        <w:pStyle w:val="ListBullet"/>
      </w:pPr>
      <w:r>
        <w:t>Separate exploratory from confirmatory analyses in all reporting.</w:t>
      </w:r>
    </w:p>
    <w:p>
      <w:pPr>
        <w:pStyle w:val="Heading1"/>
      </w:pPr>
      <w:r>
        <w:t>14. Data Governance and Ethics</w:t>
      </w:r>
    </w:p>
    <w:p>
      <w:pPr>
        <w:pStyle w:val="ListBullet"/>
      </w:pPr>
      <w:r>
        <w:t>Collect the minimum personally identifiable information necessary.</w:t>
      </w:r>
    </w:p>
    <w:p>
      <w:pPr>
        <w:pStyle w:val="ListBullet"/>
      </w:pPr>
      <w:r>
        <w:t>Separate contact/follow-up information from analytic response data wherever practical.</w:t>
      </w:r>
    </w:p>
    <w:p>
      <w:pPr>
        <w:pStyle w:val="ListBullet"/>
      </w:pPr>
      <w:r>
        <w:t>Use participant IDs rather than names in analytic files.</w:t>
      </w:r>
    </w:p>
    <w:p>
      <w:pPr>
        <w:pStyle w:val="ListBullet"/>
      </w:pPr>
      <w:r>
        <w:t>Do not request employer-confidential or customer-identifiable data that is unnecessary for the research question.</w:t>
      </w:r>
    </w:p>
    <w:p>
      <w:pPr>
        <w:pStyle w:val="ListBullet"/>
      </w:pPr>
      <w:r>
        <w:t>Obtain informed consent language appropriate to the data collection method.</w:t>
      </w:r>
    </w:p>
    <w:p>
      <w:pPr>
        <w:pStyle w:val="ListBullet"/>
      </w:pPr>
      <w:r>
        <w:t>Define retention, access, deletion, and breach-response procedures before scaled collection.</w:t>
      </w:r>
    </w:p>
    <w:p>
      <w:pPr>
        <w:pStyle w:val="ListBullet"/>
      </w:pPr>
      <w:r>
        <w:t>If the work progresses toward academic publication, human-subjects review requirements should be evaluated with a qualified institution or research partner before data collection intended for that purpose.</w:t>
      </w:r>
    </w:p>
    <w:p>
      <w:pPr>
        <w:pStyle w:val="Heading1"/>
      </w:pPr>
      <w:r>
        <w:t>15. Publication Claim Ladder</w:t>
      </w:r>
    </w:p>
    <w:tbl>
      <w:tblPr>
        <w:tblStyle w:val="TableGrid"/>
        <w:tblW w:type="auto" w:w="0"/>
        <w:tblLook w:firstColumn="1" w:firstRow="1" w:lastColumn="0" w:lastRow="0" w:noHBand="0" w:noVBand="1" w:val="04A0"/>
      </w:tblPr>
      <w:tblGrid>
        <w:gridCol w:w="3312"/>
        <w:gridCol w:w="3312"/>
        <w:gridCol w:w="3312"/>
      </w:tblGrid>
      <w:tr>
        <w:tc>
          <w:tcPr>
            <w:tcW w:type="dxa" w:w="3312"/>
            <w:shd w:fill="1F4E79"/>
          </w:tcPr>
          <w:p>
            <w:r>
              <w:rPr>
                <w:b/>
                <w:color w:val="FFFFFF"/>
              </w:rPr>
              <w:t>Claim level</w:t>
            </w:r>
          </w:p>
        </w:tc>
        <w:tc>
          <w:tcPr>
            <w:tcW w:type="dxa" w:w="3312"/>
            <w:shd w:fill="1F4E79"/>
          </w:tcPr>
          <w:p>
            <w:r>
              <w:rPr>
                <w:b/>
                <w:color w:val="FFFFFF"/>
              </w:rPr>
              <w:t>Minimum evidence</w:t>
            </w:r>
          </w:p>
        </w:tc>
        <w:tc>
          <w:tcPr>
            <w:tcW w:type="dxa" w:w="3312"/>
            <w:shd w:fill="1F4E79"/>
          </w:tcPr>
          <w:p>
            <w:r>
              <w:rPr>
                <w:b/>
                <w:color w:val="FFFFFF"/>
              </w:rPr>
              <w:t>Permitted language</w:t>
            </w:r>
          </w:p>
        </w:tc>
      </w:tr>
      <w:tr>
        <w:tc>
          <w:tcPr>
            <w:tcW w:type="dxa" w:w="3312"/>
          </w:tcPr>
          <w:p>
            <w:r>
              <w:t>Exploratory observation</w:t>
            </w:r>
          </w:p>
        </w:tc>
        <w:tc>
          <w:tcPr>
            <w:tcW w:type="dxa" w:w="3312"/>
          </w:tcPr>
          <w:p>
            <w:r>
              <w:t>Micro-polls, early interviews, convenience samples</w:t>
            </w:r>
          </w:p>
        </w:tc>
        <w:tc>
          <w:tcPr>
            <w:tcW w:type="dxa" w:w="3312"/>
          </w:tcPr>
          <w:p>
            <w:r>
              <w:t>“Participants commonly described…”</w:t>
            </w:r>
          </w:p>
        </w:tc>
      </w:tr>
      <w:tr>
        <w:tc>
          <w:tcPr>
            <w:tcW w:type="dxa" w:w="3312"/>
          </w:tcPr>
          <w:p>
            <w:r>
              <w:t>Descriptive sample finding</w:t>
            </w:r>
          </w:p>
        </w:tc>
        <w:tc>
          <w:tcPr>
            <w:tcW w:type="dxa" w:w="3312"/>
          </w:tcPr>
          <w:p>
            <w:r>
              <w:t>Adequate documented sample</w:t>
            </w:r>
          </w:p>
        </w:tc>
        <w:tc>
          <w:tcPr>
            <w:tcW w:type="dxa" w:w="3312"/>
          </w:tcPr>
          <w:p>
            <w:r>
              <w:t>“Among respondents in this sample…”</w:t>
            </w:r>
          </w:p>
        </w:tc>
      </w:tr>
      <w:tr>
        <w:tc>
          <w:tcPr>
            <w:tcW w:type="dxa" w:w="3312"/>
          </w:tcPr>
          <w:p>
            <w:r>
              <w:t>Cross-industry association</w:t>
            </w:r>
          </w:p>
        </w:tc>
        <w:tc>
          <w:tcPr>
            <w:tcW w:type="dxa" w:w="3312"/>
          </w:tcPr>
          <w:p>
            <w:r>
              <w:t>Diverse sample + adjusted analysis</w:t>
            </w:r>
          </w:p>
        </w:tc>
        <w:tc>
          <w:tcPr>
            <w:tcW w:type="dxa" w:w="3312"/>
          </w:tcPr>
          <w:p>
            <w:r>
              <w:t>“X was associated with Y across participating industries…”</w:t>
            </w:r>
          </w:p>
        </w:tc>
      </w:tr>
      <w:tr>
        <w:tc>
          <w:tcPr>
            <w:tcW w:type="dxa" w:w="3312"/>
          </w:tcPr>
          <w:p>
            <w:r>
              <w:t>Predictive evidence</w:t>
            </w:r>
          </w:p>
        </w:tc>
        <w:tc>
          <w:tcPr>
            <w:tcW w:type="dxa" w:w="3312"/>
          </w:tcPr>
          <w:p>
            <w:r>
              <w:t>Prospective/longitudinal validation</w:t>
            </w:r>
          </w:p>
        </w:tc>
        <w:tc>
          <w:tcPr>
            <w:tcW w:type="dxa" w:w="3312"/>
          </w:tcPr>
          <w:p>
            <w:r>
              <w:t>“X predicted subsequent Y in the validation sample…”</w:t>
            </w:r>
          </w:p>
        </w:tc>
      </w:tr>
      <w:tr>
        <w:tc>
          <w:tcPr>
            <w:tcW w:type="dxa" w:w="3312"/>
          </w:tcPr>
          <w:p>
            <w:r>
              <w:t>Causal ResolveCX claim</w:t>
            </w:r>
          </w:p>
        </w:tc>
        <w:tc>
          <w:tcPr>
            <w:tcW w:type="dxa" w:w="3312"/>
          </w:tcPr>
          <w:p>
            <w:r>
              <w:t>Credible intervention/comparison design</w:t>
            </w:r>
          </w:p>
        </w:tc>
        <w:tc>
          <w:tcPr>
            <w:tcW w:type="dxa" w:w="3312"/>
          </w:tcPr>
          <w:p>
            <w:r>
              <w:t>“ResolveCX participation caused/improved…” only if design supports causality.</w:t>
            </w:r>
          </w:p>
        </w:tc>
      </w:tr>
    </w:tbl>
    <w:p>
      <w:pPr>
        <w:pStyle w:val="Heading1"/>
      </w:pPr>
      <w:r>
        <w:t>16. Ongoing Body of Work</w:t>
      </w:r>
    </w:p>
    <w:p>
      <w:pPr>
        <w:pStyle w:val="ListBullet"/>
      </w:pPr>
      <w:r>
        <w:t>Living Evidence Registry — every external source, evidence tier, method, finding, limitation, conflict/funding note, and hypothesis linkage.</w:t>
      </w:r>
    </w:p>
    <w:p>
      <w:pPr>
        <w:pStyle w:val="ListBullet"/>
      </w:pPr>
      <w:r>
        <w:t>Research Change Log — version, date, change, rationale, and whether the change occurred before or after outcome data were reviewed.</w:t>
      </w:r>
    </w:p>
    <w:p>
      <w:pPr>
        <w:pStyle w:val="ListBullet"/>
      </w:pPr>
      <w:r>
        <w:t>Quarterly Findings Brief — clearly labeled preliminary, with sample composition and limitations.</w:t>
      </w:r>
    </w:p>
    <w:p>
      <w:pPr>
        <w:pStyle w:val="ListBullet"/>
      </w:pPr>
      <w:r>
        <w:t>Frontline Voices Briefs — de-identified qualitative themes without implying prevalence.</w:t>
      </w:r>
    </w:p>
    <w:p>
      <w:pPr>
        <w:pStyle w:val="ListBullet"/>
      </w:pPr>
      <w:r>
        <w:t>Industry Comparison Briefs — only after minimum diversity and comparability gates are met.</w:t>
      </w:r>
    </w:p>
    <w:p>
      <w:pPr>
        <w:pStyle w:val="ListBullet"/>
      </w:pPr>
      <w:r>
        <w:t>Annual State of Contact Center New-Hire Readiness report — only when the evidence base supports the scope of its claims.</w:t>
      </w:r>
    </w:p>
    <w:p>
      <w:pPr>
        <w:pStyle w:val="Heading1"/>
      </w:pPr>
      <w:r>
        <w:t>17. Immediate Implementation Sequence</w:t>
      </w:r>
    </w:p>
    <w:p>
      <w:pPr>
        <w:pStyle w:val="ListNumber"/>
      </w:pPr>
      <w:r>
        <w:t>Freeze Protocol v1.1 before primary outcome data collection.</w:t>
      </w:r>
    </w:p>
    <w:p>
      <w:pPr>
        <w:pStyle w:val="ListNumber"/>
      </w:pPr>
      <w:r>
        <w:t>Build and maintain the Evidence Registry, Data Dictionary, Falsification Register, Change Log, Participant Tracker, and Employer Cohort Tracker.</w:t>
      </w:r>
    </w:p>
    <w:p>
      <w:pPr>
        <w:pStyle w:val="ListNumber"/>
      </w:pPr>
      <w:r>
        <w:t>Draft a Frontline Pulse instrument only for questions not adequately answered by existing evidence or employer/secondary data.</w:t>
      </w:r>
    </w:p>
    <w:p>
      <w:pPr>
        <w:pStyle w:val="ListNumber"/>
      </w:pPr>
      <w:r>
        <w:t>If new or materially adapted items remain necessary after the Evidence Sufficiency Review, conduct 5–10 cognitive interviews to test comprehension and response process.</w:t>
      </w:r>
    </w:p>
    <w:p>
      <w:pPr>
        <w:pStyle w:val="ListNumber"/>
      </w:pPr>
      <w:r>
        <w:t>Revise and version the instrument; pilot with a small diverse sample.</w:t>
      </w:r>
    </w:p>
    <w:p>
      <w:pPr>
        <w:pStyle w:val="ListNumber"/>
      </w:pPr>
      <w:r>
        <w:t>Launch Phase I primary collection only for evidence gaps that survive the Evidence Sufficiency Review with source/channel tracking to identify sampling bias.</w:t>
      </w:r>
    </w:p>
    <w:p>
      <w:pPr>
        <w:pStyle w:val="ListNumber"/>
      </w:pPr>
      <w:r>
        <w:t>Use structured leader/frontline interviews only for unresolved mechanisms, boundary conditions, or contact-center-specific gaps using a stable core protocol.</w:t>
      </w:r>
    </w:p>
    <w:p>
      <w:pPr>
        <w:pStyle w:val="ListNumber"/>
      </w:pPr>
      <w:r>
        <w:t>Recruit employer partners for aggregated cohort data.</w:t>
      </w:r>
    </w:p>
    <w:p>
      <w:pPr>
        <w:pStyle w:val="ListNumber"/>
      </w:pPr>
      <w:r>
        <w:t>Publish only claim levels supported by the evidence available at that time.</w:t>
      </w:r>
    </w:p>
    <w:p>
      <w:pPr>
        <w:pStyle w:val="ListNumber"/>
      </w:pPr>
      <w:r>
        <w:t>Before confirmatory testing, preregister hypotheses, outcomes, exclusions, covariates, and analysis plan.</w:t>
      </w:r>
    </w:p>
    <w:p>
      <w:pPr>
        <w:pStyle w:val="Heading1"/>
      </w:pPr>
      <w:r>
        <w:t>18. Current External Methodology Anchors</w:t>
      </w:r>
    </w:p>
    <w:tbl>
      <w:tblPr>
        <w:tblStyle w:val="TableGrid"/>
        <w:tblW w:type="auto" w:w="0"/>
        <w:tblLook w:firstColumn="1" w:firstRow="1" w:lastColumn="0" w:lastRow="0" w:noHBand="0" w:noVBand="1" w:val="04A0"/>
      </w:tblPr>
      <w:tblGrid>
        <w:gridCol w:w="3312"/>
        <w:gridCol w:w="3312"/>
        <w:gridCol w:w="3312"/>
      </w:tblGrid>
      <w:tr>
        <w:tc>
          <w:tcPr>
            <w:tcW w:type="dxa" w:w="3312"/>
            <w:shd w:fill="1F4E79"/>
          </w:tcPr>
          <w:p>
            <w:r>
              <w:rPr>
                <w:b/>
                <w:color w:val="FFFFFF"/>
              </w:rPr>
              <w:t>Source</w:t>
            </w:r>
          </w:p>
        </w:tc>
        <w:tc>
          <w:tcPr>
            <w:tcW w:type="dxa" w:w="3312"/>
            <w:shd w:fill="1F4E79"/>
          </w:tcPr>
          <w:p>
            <w:r>
              <w:rPr>
                <w:b/>
                <w:color w:val="FFFFFF"/>
              </w:rPr>
              <w:t>Use</w:t>
            </w:r>
          </w:p>
        </w:tc>
        <w:tc>
          <w:tcPr>
            <w:tcW w:type="dxa" w:w="3312"/>
            <w:shd w:fill="1F4E79"/>
          </w:tcPr>
          <w:p>
            <w:r>
              <w:rPr>
                <w:b/>
                <w:color w:val="FFFFFF"/>
              </w:rPr>
              <w:t>URL</w:t>
            </w:r>
          </w:p>
        </w:tc>
      </w:tr>
      <w:tr>
        <w:tc>
          <w:tcPr>
            <w:tcW w:type="dxa" w:w="3312"/>
          </w:tcPr>
          <w:p>
            <w:r>
              <w:t>Pew Research Center — Writing Survey Questions</w:t>
            </w:r>
          </w:p>
        </w:tc>
        <w:tc>
          <w:tcPr>
            <w:tcW w:type="dxa" w:w="3312"/>
          </w:tcPr>
          <w:p>
            <w:r>
              <w:t>Question wording, order, pretesting, cognitive interviews, open- vs closed-ended development, and longitudinal consistency.</w:t>
            </w:r>
          </w:p>
        </w:tc>
        <w:tc>
          <w:tcPr>
            <w:tcW w:type="dxa" w:w="3312"/>
          </w:tcPr>
          <w:p>
            <w:r>
              <w:t>https://www.pewresearch.org/writing-survey-questions/</w:t>
            </w:r>
          </w:p>
        </w:tc>
      </w:tr>
      <w:tr>
        <w:tc>
          <w:tcPr>
            <w:tcW w:type="dxa" w:w="3312"/>
          </w:tcPr>
          <w:p>
            <w:r>
              <w:t>CDC/NCHS CCQDER — Questionnaire Design and Evaluation Research</w:t>
            </w:r>
          </w:p>
        </w:tc>
        <w:tc>
          <w:tcPr>
            <w:tcW w:type="dxa" w:w="3312"/>
          </w:tcPr>
          <w:p>
            <w:r>
              <w:t>Construct validity, cognitive interviewing, response error, and cross-group question comparability.</w:t>
            </w:r>
          </w:p>
        </w:tc>
        <w:tc>
          <w:tcPr>
            <w:tcW w:type="dxa" w:w="3312"/>
          </w:tcPr>
          <w:p>
            <w:r>
              <w:t>https://www.cdc.gov/nchs/ccqder/index.html</w:t>
            </w:r>
          </w:p>
        </w:tc>
      </w:tr>
      <w:tr>
        <w:tc>
          <w:tcPr>
            <w:tcW w:type="dxa" w:w="3312"/>
          </w:tcPr>
          <w:p>
            <w:r>
              <w:t>U.S. Bureau of Labor Statistics — Customer Service Representatives</w:t>
            </w:r>
          </w:p>
        </w:tc>
        <w:tc>
          <w:tcPr>
            <w:tcW w:type="dxa" w:w="3312"/>
          </w:tcPr>
          <w:p>
            <w:r>
              <w:t>Current occupational scale, work context, wages, employment projections, and cross-industry footprint.</w:t>
            </w:r>
          </w:p>
        </w:tc>
        <w:tc>
          <w:tcPr>
            <w:tcW w:type="dxa" w:w="3312"/>
          </w:tcPr>
          <w:p>
            <w:r>
              <w:t>https://www.bls.gov/ooh/office-and-administrative-support/customer-service-representatives.htm</w:t>
            </w:r>
          </w:p>
        </w:tc>
      </w:tr>
      <w:tr>
        <w:tc>
          <w:tcPr>
            <w:tcW w:type="dxa" w:w="3312"/>
          </w:tcPr>
          <w:p>
            <w:r>
              <w:t>Open Science Framework — Preregistration</w:t>
            </w:r>
          </w:p>
        </w:tc>
        <w:tc>
          <w:tcPr>
            <w:tcW w:type="dxa" w:w="3312"/>
          </w:tcPr>
          <w:p>
            <w:r>
              <w:t>To be used before the confirmatory phase to timestamp hypotheses and analysis decisions.</w:t>
            </w:r>
          </w:p>
        </w:tc>
        <w:tc>
          <w:tcPr>
            <w:tcW w:type="dxa" w:w="3312"/>
          </w:tcPr>
          <w:p>
            <w:r>
              <w:t>https://osf.io/</w:t>
            </w:r>
          </w:p>
        </w:tc>
      </w:tr>
    </w:tbl>
    <w:p/>
    <w:p>
      <w:pPr>
        <w:jc w:val="center"/>
      </w:pPr>
      <w:r>
        <w:rPr>
          <w:b/>
          <w:sz w:val="18"/>
        </w:rPr>
        <w:t>END OF PROTOCOL v1.1 — changes after data review must be logged.</w:t>
      </w:r>
    </w:p>
    <w:p>
      <w:r>
        <w:br w:type="page"/>
      </w:r>
    </w:p>
    <w:p>
      <w:pPr>
        <w:pStyle w:val="Heading1"/>
      </w:pPr>
      <w:r>
        <w:t>Evidence Sufficiency Amendment — External Evidence First</w:t>
      </w:r>
    </w:p>
    <w:p>
      <w:r>
        <w:t>Research Status: Ongoing. This amendment supersedes any earlier wording that could be read as requiring surveys or interviews by default. ResolveCX will use the strongest credible external evidence and existing datasets first. Original interviews, surveys, employer data, longitudinal collection, or intervention research will be used only when they answer a material question that existing evidence cannot answer with sufficient relevance, quality, recency, population fit, or causal strength.</w:t>
      </w:r>
    </w:p>
    <w:p>
      <w:pPr>
        <w:pStyle w:val="Heading2"/>
      </w:pPr>
      <w:r>
        <w:t>Evidence Sufficiency Decision Framework</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Evidence status</w:t>
            </w:r>
          </w:p>
        </w:tc>
        <w:tc>
          <w:tcPr>
            <w:tcW w:type="dxa" w:w="4968"/>
            <w:shd w:fill="0B3A53"/>
          </w:tcPr>
          <w:p>
            <w:r>
              <w:rPr>
                <w:b/>
                <w:color w:val="FFFFFF"/>
                <w:sz w:val="18"/>
              </w:rPr>
              <w:t>Decision rule</w:t>
            </w:r>
          </w:p>
        </w:tc>
      </w:tr>
      <w:tr>
        <w:tc>
          <w:tcPr>
            <w:tcW w:type="dxa" w:w="4968"/>
          </w:tcPr>
          <w:p>
            <w:r>
              <w:rPr>
                <w:sz w:val="17"/>
              </w:rPr>
              <w:t>ESTABLISHED</w:t>
            </w:r>
          </w:p>
        </w:tc>
        <w:tc>
          <w:tcPr>
            <w:tcW w:type="dxa" w:w="4968"/>
          </w:tcPr>
          <w:p>
            <w:r>
              <w:rPr>
                <w:sz w:val="17"/>
              </w:rPr>
              <w:t>Adopt the finding as external evidence. Do not repeat primary research merely to reproduce it.</w:t>
            </w:r>
          </w:p>
        </w:tc>
      </w:tr>
      <w:tr>
        <w:tc>
          <w:tcPr>
            <w:tcW w:type="dxa" w:w="4968"/>
          </w:tcPr>
          <w:p>
            <w:r>
              <w:rPr>
                <w:sz w:val="17"/>
              </w:rPr>
              <w:t>SUPPORTED BUT TRANSFERABILITY UNKNOWN</w:t>
            </w:r>
          </w:p>
        </w:tc>
        <w:tc>
          <w:tcPr>
            <w:tcW w:type="dxa" w:w="4968"/>
          </w:tcPr>
          <w:p>
            <w:r>
              <w:rPr>
                <w:sz w:val="17"/>
              </w:rPr>
              <w:t>Collect only the minimum targeted evidence needed to test applicability to modern contact-center settings.</w:t>
            </w:r>
          </w:p>
        </w:tc>
      </w:tr>
      <w:tr>
        <w:tc>
          <w:tcPr>
            <w:tcW w:type="dxa" w:w="4968"/>
          </w:tcPr>
          <w:p>
            <w:r>
              <w:rPr>
                <w:sz w:val="17"/>
              </w:rPr>
              <w:t>MIXED</w:t>
            </w:r>
          </w:p>
        </w:tc>
        <w:tc>
          <w:tcPr>
            <w:tcW w:type="dxa" w:w="4968"/>
          </w:tcPr>
          <w:p>
            <w:r>
              <w:rPr>
                <w:sz w:val="17"/>
              </w:rPr>
              <w:t>Investigate moderators, contexts, mechanisms, measurement differences, and reasons credible studies disagree.</w:t>
            </w:r>
          </w:p>
        </w:tc>
      </w:tr>
      <w:tr>
        <w:tc>
          <w:tcPr>
            <w:tcW w:type="dxa" w:w="4968"/>
          </w:tcPr>
          <w:p>
            <w:r>
              <w:rPr>
                <w:sz w:val="17"/>
              </w:rPr>
              <w:t>EVIDENCE GAP</w:t>
            </w:r>
          </w:p>
        </w:tc>
        <w:tc>
          <w:tcPr>
            <w:tcW w:type="dxa" w:w="4968"/>
          </w:tcPr>
          <w:p>
            <w:r>
              <w:rPr>
                <w:sz w:val="17"/>
              </w:rPr>
              <w:t>Primary research is justified if the unanswered question is material to ResolveCX.</w:t>
            </w:r>
          </w:p>
        </w:tc>
      </w:tr>
      <w:tr>
        <w:tc>
          <w:tcPr>
            <w:tcW w:type="dxa" w:w="4968"/>
          </w:tcPr>
          <w:p>
            <w:r>
              <w:rPr>
                <w:sz w:val="17"/>
              </w:rPr>
              <w:t>CONTRADICTED</w:t>
            </w:r>
          </w:p>
        </w:tc>
        <w:tc>
          <w:tcPr>
            <w:tcW w:type="dxa" w:w="4968"/>
          </w:tcPr>
          <w:p>
            <w:r>
              <w:rPr>
                <w:sz w:val="17"/>
              </w:rPr>
              <w:t>Revise, narrow, or reject the hypothesis unless a clearly documented context-specific reason justifies further testing.</w:t>
            </w:r>
          </w:p>
        </w:tc>
      </w:tr>
      <w:tr>
        <w:tc>
          <w:tcPr>
            <w:tcW w:type="dxa" w:w="4968"/>
          </w:tcPr>
          <w:p>
            <w:r>
              <w:rPr>
                <w:sz w:val="17"/>
              </w:rPr>
              <w:t>RESOLVECX-SPECIFIC GAP</w:t>
            </w:r>
          </w:p>
        </w:tc>
        <w:tc>
          <w:tcPr>
            <w:tcW w:type="dxa" w:w="4968"/>
          </w:tcPr>
          <w:p>
            <w:r>
              <w:rPr>
                <w:sz w:val="17"/>
              </w:rPr>
              <w:t>General theory may be established, but ResolveCX's proposed preparation, assessment, pathway, or intervention remains untested and requires direct evidence before effectiveness claims.</w:t>
            </w:r>
          </w:p>
        </w:tc>
      </w:tr>
    </w:tbl>
    <w:p>
      <w:pPr>
        <w:pStyle w:val="Heading2"/>
      </w:pPr>
      <w:r>
        <w:t>Hypothesis-Level Evidence Triage</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sz w:val="18"/>
              </w:rPr>
              <w:t>Hypothesis</w:t>
            </w:r>
          </w:p>
        </w:tc>
        <w:tc>
          <w:tcPr>
            <w:tcW w:type="dxa" w:w="3312"/>
            <w:shd w:fill="0B3A53"/>
          </w:tcPr>
          <w:p>
            <w:r>
              <w:rPr>
                <w:b/>
                <w:color w:val="FFFFFF"/>
                <w:sz w:val="18"/>
              </w:rPr>
              <w:t>Current evidence decision</w:t>
            </w:r>
          </w:p>
        </w:tc>
        <w:tc>
          <w:tcPr>
            <w:tcW w:type="dxa" w:w="3312"/>
            <w:shd w:fill="0B3A53"/>
          </w:tcPr>
          <w:p>
            <w:r>
              <w:rPr>
                <w:b/>
                <w:color w:val="FFFFFF"/>
                <w:sz w:val="18"/>
              </w:rPr>
              <w:t>Implication for new data</w:t>
            </w:r>
          </w:p>
        </w:tc>
      </w:tr>
      <w:tr>
        <w:tc>
          <w:tcPr>
            <w:tcW w:type="dxa" w:w="3312"/>
          </w:tcPr>
          <w:p>
            <w:r>
              <w:rPr>
                <w:sz w:val="17"/>
              </w:rPr>
              <w:t>H1 — Expectation Alignment</w:t>
            </w:r>
          </w:p>
        </w:tc>
        <w:tc>
          <w:tcPr>
            <w:tcW w:type="dxa" w:w="3312"/>
          </w:tcPr>
          <w:p>
            <w:r>
              <w:rPr>
                <w:sz w:val="17"/>
              </w:rPr>
              <w:t>SUPPORTED / RESOLVECX-SPECIFIC GAP</w:t>
            </w:r>
          </w:p>
        </w:tc>
        <w:tc>
          <w:tcPr>
            <w:tcW w:type="dxa" w:w="3312"/>
          </w:tcPr>
          <w:p>
            <w:r>
              <w:rPr>
                <w:sz w:val="17"/>
              </w:rPr>
              <w:t>External research supports met-expectations/realistic-preview relationships. ResolveCX still needs contact-center-specific evidence on which expectation gaps are modifiable before production.</w:t>
            </w:r>
          </w:p>
        </w:tc>
      </w:tr>
      <w:tr>
        <w:tc>
          <w:tcPr>
            <w:tcW w:type="dxa" w:w="3312"/>
          </w:tcPr>
          <w:p>
            <w:r>
              <w:rPr>
                <w:sz w:val="17"/>
              </w:rPr>
              <w:t>H2 — Newcomer Adjustment</w:t>
            </w:r>
          </w:p>
        </w:tc>
        <w:tc>
          <w:tcPr>
            <w:tcW w:type="dxa" w:w="3312"/>
          </w:tcPr>
          <w:p>
            <w:r>
              <w:rPr>
                <w:sz w:val="17"/>
              </w:rPr>
              <w:t>ESTABLISHED FOUNDATION</w:t>
            </w:r>
          </w:p>
        </w:tc>
        <w:tc>
          <w:tcPr>
            <w:tcW w:type="dxa" w:w="3312"/>
          </w:tcPr>
          <w:p>
            <w:r>
              <w:rPr>
                <w:sz w:val="17"/>
              </w:rPr>
              <w:t>Meta-analytic evidence already supports role clarity, self-efficacy and social acceptance as important newcomer-adjustment mechanisms. Do not duplicate merely to prove the general relationship.</w:t>
            </w:r>
          </w:p>
        </w:tc>
      </w:tr>
      <w:tr>
        <w:tc>
          <w:tcPr>
            <w:tcW w:type="dxa" w:w="3312"/>
          </w:tcPr>
          <w:p>
            <w:r>
              <w:rPr>
                <w:sz w:val="17"/>
              </w:rPr>
              <w:t>H3 — Production Transition</w:t>
            </w:r>
          </w:p>
        </w:tc>
        <w:tc>
          <w:tcPr>
            <w:tcW w:type="dxa" w:w="3312"/>
          </w:tcPr>
          <w:p>
            <w:r>
              <w:rPr>
                <w:sz w:val="17"/>
              </w:rPr>
              <w:t>EVIDENCE GAP / TARGETED PRIMARY RESEARCH</w:t>
            </w:r>
          </w:p>
        </w:tc>
        <w:tc>
          <w:tcPr>
            <w:tcW w:type="dxa" w:w="3312"/>
          </w:tcPr>
          <w:p>
            <w:r>
              <w:rPr>
                <w:sz w:val="17"/>
              </w:rPr>
              <w:t>The training-to-live-production transition is central to the contact-center thesis and is not sufficiently answered by general newcomer literature.</w:t>
            </w:r>
          </w:p>
        </w:tc>
      </w:tr>
      <w:tr>
        <w:tc>
          <w:tcPr>
            <w:tcW w:type="dxa" w:w="3312"/>
          </w:tcPr>
          <w:p>
            <w:r>
              <w:rPr>
                <w:sz w:val="17"/>
              </w:rPr>
              <w:t>H4 — Operational Literacy</w:t>
            </w:r>
          </w:p>
        </w:tc>
        <w:tc>
          <w:tcPr>
            <w:tcW w:type="dxa" w:w="3312"/>
          </w:tcPr>
          <w:p>
            <w:r>
              <w:rPr>
                <w:sz w:val="17"/>
              </w:rPr>
              <w:t>EVIDENCE GAP / STUDY #003 LINK</w:t>
            </w:r>
          </w:p>
        </w:tc>
        <w:tc>
          <w:tcPr>
            <w:tcW w:type="dxa" w:w="3312"/>
          </w:tcPr>
          <w:p>
            <w:r>
              <w:rPr>
                <w:sz w:val="17"/>
              </w:rPr>
              <w:t>Treat as exploratory until Study #003 establishes whether portable operational literacy is distinct, measurable and predictive.</w:t>
            </w:r>
          </w:p>
        </w:tc>
      </w:tr>
      <w:tr>
        <w:tc>
          <w:tcPr>
            <w:tcW w:type="dxa" w:w="3312"/>
          </w:tcPr>
          <w:p>
            <w:r>
              <w:rPr>
                <w:sz w:val="17"/>
              </w:rPr>
              <w:t>H5 — Emotional Readiness</w:t>
            </w:r>
          </w:p>
        </w:tc>
        <w:tc>
          <w:tcPr>
            <w:tcW w:type="dxa" w:w="3312"/>
          </w:tcPr>
          <w:p>
            <w:r>
              <w:rPr>
                <w:sz w:val="17"/>
              </w:rPr>
              <w:t>SUPPORTED BUT TRANSFERABILITY UNKNOWN</w:t>
            </w:r>
          </w:p>
        </w:tc>
        <w:tc>
          <w:tcPr>
            <w:tcW w:type="dxa" w:w="3312"/>
          </w:tcPr>
          <w:p>
            <w:r>
              <w:rPr>
                <w:sz w:val="17"/>
              </w:rPr>
              <w:t>Emotional-labor research supports the relevance of emotional demands; the incremental value of pre-employment preparation remains unproven.</w:t>
            </w:r>
          </w:p>
        </w:tc>
      </w:tr>
      <w:tr>
        <w:tc>
          <w:tcPr>
            <w:tcW w:type="dxa" w:w="3312"/>
          </w:tcPr>
          <w:p>
            <w:r>
              <w:rPr>
                <w:sz w:val="17"/>
              </w:rPr>
              <w:t>H6 — Support Environment</w:t>
            </w:r>
          </w:p>
        </w:tc>
        <w:tc>
          <w:tcPr>
            <w:tcW w:type="dxa" w:w="3312"/>
          </w:tcPr>
          <w:p>
            <w:r>
              <w:rPr>
                <w:sz w:val="17"/>
              </w:rPr>
              <w:t>ESTABLISHED FOUNDATION + CONTEXT TEST</w:t>
            </w:r>
          </w:p>
        </w:tc>
        <w:tc>
          <w:tcPr>
            <w:tcW w:type="dxa" w:w="3312"/>
          </w:tcPr>
          <w:p>
            <w:r>
              <w:rPr>
                <w:sz w:val="17"/>
              </w:rPr>
              <w:t>Supervisor/peer/socialization evidence supports the mechanism broadly. Original data should focus on contact-center timing, magnitude and boundary conditions.</w:t>
            </w:r>
          </w:p>
        </w:tc>
      </w:tr>
      <w:tr>
        <w:tc>
          <w:tcPr>
            <w:tcW w:type="dxa" w:w="3312"/>
          </w:tcPr>
          <w:p>
            <w:r>
              <w:rPr>
                <w:sz w:val="17"/>
              </w:rPr>
              <w:t>H7 — Adaptability &amp; Career Agency</w:t>
            </w:r>
          </w:p>
        </w:tc>
        <w:tc>
          <w:tcPr>
            <w:tcW w:type="dxa" w:w="3312"/>
          </w:tcPr>
          <w:p>
            <w:r>
              <w:rPr>
                <w:sz w:val="17"/>
              </w:rPr>
              <w:t>MIXED / PARTIALLY ESTABLISHED</w:t>
            </w:r>
          </w:p>
        </w:tc>
        <w:tc>
          <w:tcPr>
            <w:tcW w:type="dxa" w:w="3312"/>
          </w:tcPr>
          <w:p>
            <w:r>
              <w:rPr>
                <w:sz w:val="17"/>
              </w:rPr>
              <w:t>Adaptability has empirical support; career-agency mechanisms and their incremental effect on survival require targeted evidence.</w:t>
            </w:r>
          </w:p>
        </w:tc>
      </w:tr>
    </w:tbl>
    <w:p>
      <w:pPr>
        <w:pStyle w:val="Heading2"/>
      </w:pPr>
      <w:r>
        <w:t>Primary Data Trigger Rules</w:t>
      </w:r>
    </w:p>
    <w:p>
      <w:pPr>
        <w:pStyle w:val="ListBullet"/>
      </w:pPr>
      <w:r>
        <w:t>Do not collect interviews or surveys simply because they were listed in an earlier protocol version.</w:t>
      </w:r>
    </w:p>
    <w:p>
      <w:pPr>
        <w:pStyle w:val="ListBullet"/>
      </w:pPr>
      <w:r>
        <w:t>Before new data collection, document the exact unresolved question and why external evidence, public datasets, existing employer records, or validated measures cannot answer it sufficiently.</w:t>
      </w:r>
    </w:p>
    <w:p>
      <w:pPr>
        <w:pStyle w:val="ListBullet"/>
      </w:pPr>
      <w:r>
        <w:t>Prefer secondary analysis and de-identified employer operational data over self-report when they answer the question more directly.</w:t>
      </w:r>
    </w:p>
    <w:p>
      <w:pPr>
        <w:pStyle w:val="ListBullet"/>
      </w:pPr>
      <w:r>
        <w:t>Use interviews primarily for mechanisms, lived context, language, unexpected explanations, implementation detail, and construct discovery—not to re-prove mature general relationships.</w:t>
      </w:r>
    </w:p>
    <w:p>
      <w:pPr>
        <w:pStyle w:val="ListBullet"/>
      </w:pPr>
      <w:r>
        <w:t>Use surveys when a defined construct, prevalence estimate, comparison, moderator, or prediction cannot be answered adequately from existing evidence.</w:t>
      </w:r>
    </w:p>
    <w:p>
      <w:pPr>
        <w:pStyle w:val="ListBullet"/>
      </w:pPr>
      <w:r>
        <w:t>Use longitudinal data when temporal ordering or prediction matters. Use intervention/comparison designs when the claim concerns ResolveCX effectiveness.</w:t>
      </w:r>
    </w:p>
    <w:p>
      <w:pPr>
        <w:pStyle w:val="ListBullet"/>
      </w:pPr>
      <w:r>
        <w:t>Stop or narrow data collection when new evidence makes a question immaterial, redundant, or already sufficiently answered.</w:t>
      </w:r>
    </w:p>
    <w:p>
      <w:pPr>
        <w:pStyle w:val="ListBullet"/>
      </w:pPr>
      <w:r>
        <w:t>Preserve negative, null, adverse, and contradictory evidence in the same registry as supportive evidence.</w:t>
      </w:r>
    </w:p>
    <w:p>
      <w:pPr>
        <w:pStyle w:val="Heading2"/>
      </w:pPr>
      <w:r>
        <w:t>ResolveCX Proof Boundary</w:t>
      </w:r>
    </w:p>
    <w:p>
      <w:r>
        <w:t>External research may establish that a problem, construct, mechanism, or relationship exists. It cannot by itself establish that a ResolveCX intervention causes better outcomes. Claims that ResolveCX preparation improves proficiency, adaptation, retention, customer outcomes, career progression, or economic value require direct evaluation of the ResolveCX intervention using a design strong enough for the claim.</w:t>
      </w:r>
    </w:p>
    <w:p>
      <w:pPr>
        <w:pStyle w:val="Heading2"/>
      </w:pPr>
      <w:r>
        <w:t>Decision Record Required Before Any New Survey or Interview</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Field</w:t>
            </w:r>
          </w:p>
        </w:tc>
        <w:tc>
          <w:tcPr>
            <w:tcW w:type="dxa" w:w="4968"/>
            <w:shd w:fill="0B3A53"/>
          </w:tcPr>
          <w:p>
            <w:r>
              <w:rPr>
                <w:b/>
                <w:color w:val="FFFFFF"/>
                <w:sz w:val="18"/>
              </w:rPr>
              <w:t>Required entry</w:t>
            </w:r>
          </w:p>
        </w:tc>
      </w:tr>
      <w:tr>
        <w:tc>
          <w:tcPr>
            <w:tcW w:type="dxa" w:w="4968"/>
          </w:tcPr>
          <w:p>
            <w:r>
              <w:rPr>
                <w:sz w:val="17"/>
              </w:rPr>
              <w:t>Unresolved question</w:t>
            </w:r>
          </w:p>
        </w:tc>
        <w:tc>
          <w:tcPr>
            <w:tcW w:type="dxa" w:w="4968"/>
          </w:tcPr>
          <w:p>
            <w:r>
              <w:rPr>
                <w:sz w:val="17"/>
              </w:rPr>
              <w:t>Exactly what remains unknown?</w:t>
            </w:r>
          </w:p>
        </w:tc>
      </w:tr>
      <w:tr>
        <w:tc>
          <w:tcPr>
            <w:tcW w:type="dxa" w:w="4968"/>
          </w:tcPr>
          <w:p>
            <w:r>
              <w:rPr>
                <w:sz w:val="17"/>
              </w:rPr>
              <w:t>Existing evidence reviewed</w:t>
            </w:r>
          </w:p>
        </w:tc>
        <w:tc>
          <w:tcPr>
            <w:tcW w:type="dxa" w:w="4968"/>
          </w:tcPr>
          <w:p>
            <w:r>
              <w:rPr>
                <w:sz w:val="17"/>
              </w:rPr>
              <w:t>What high-quality evidence already addresses it?</w:t>
            </w:r>
          </w:p>
        </w:tc>
      </w:tr>
      <w:tr>
        <w:tc>
          <w:tcPr>
            <w:tcW w:type="dxa" w:w="4968"/>
          </w:tcPr>
          <w:p>
            <w:r>
              <w:rPr>
                <w:sz w:val="17"/>
              </w:rPr>
              <w:t>Why insufficient</w:t>
            </w:r>
          </w:p>
        </w:tc>
        <w:tc>
          <w:tcPr>
            <w:tcW w:type="dxa" w:w="4968"/>
          </w:tcPr>
          <w:p>
            <w:r>
              <w:rPr>
                <w:sz w:val="17"/>
              </w:rPr>
              <w:t>Population, context, construct, recency, outcome, method, or causal limitation.</w:t>
            </w:r>
          </w:p>
        </w:tc>
      </w:tr>
      <w:tr>
        <w:tc>
          <w:tcPr>
            <w:tcW w:type="dxa" w:w="4968"/>
          </w:tcPr>
          <w:p>
            <w:r>
              <w:rPr>
                <w:sz w:val="17"/>
              </w:rPr>
              <w:t>Best next evidence source</w:t>
            </w:r>
          </w:p>
        </w:tc>
        <w:tc>
          <w:tcPr>
            <w:tcW w:type="dxa" w:w="4968"/>
          </w:tcPr>
          <w:p>
            <w:r>
              <w:rPr>
                <w:sz w:val="17"/>
              </w:rPr>
              <w:t>External dataset, employer data, interview, survey, longitudinal panel, intervention, or no further collection.</w:t>
            </w:r>
          </w:p>
        </w:tc>
      </w:tr>
      <w:tr>
        <w:tc>
          <w:tcPr>
            <w:tcW w:type="dxa" w:w="4968"/>
          </w:tcPr>
          <w:p>
            <w:r>
              <w:rPr>
                <w:sz w:val="17"/>
              </w:rPr>
              <w:t>Decision value</w:t>
            </w:r>
          </w:p>
        </w:tc>
        <w:tc>
          <w:tcPr>
            <w:tcW w:type="dxa" w:w="4968"/>
          </w:tcPr>
          <w:p>
            <w:r>
              <w:rPr>
                <w:sz w:val="17"/>
              </w:rPr>
              <w:t>What decision will this evidence change for ResolveCX?</w:t>
            </w:r>
          </w:p>
        </w:tc>
      </w:tr>
      <w:tr>
        <w:tc>
          <w:tcPr>
            <w:tcW w:type="dxa" w:w="4968"/>
          </w:tcPr>
          <w:p>
            <w:r>
              <w:rPr>
                <w:sz w:val="17"/>
              </w:rPr>
              <w:t>Stop rule</w:t>
            </w:r>
          </w:p>
        </w:tc>
        <w:tc>
          <w:tcPr>
            <w:tcW w:type="dxa" w:w="4968"/>
          </w:tcPr>
          <w:p>
            <w:r>
              <w:rPr>
                <w:sz w:val="17"/>
              </w:rPr>
              <w:t>What result would make further collection unnecessary?</w:t>
            </w:r>
          </w:p>
        </w:tc>
      </w:tr>
    </w:tbl>
    <w:p>
      <w:pPr>
        <w:pStyle w:val="Heading2"/>
      </w:pPr>
      <w:r>
        <w:t>Publication Language</w:t>
      </w:r>
    </w:p>
    <w:p>
      <w:r>
        <w:t>This study may be introduced publicly as Ongoing Research. Public materials must distinguish: (1) what external evidence already establishes; (2) what ResolveCX currently hypothesizes; (3) what remains unresolved; (4) what original data, if any, are being collected; and (5) the current finding status. Preliminary observations must not be presented as representative or validated findings.</w:t>
      </w:r>
    </w:p>
    <w:p>
      <w:pPr>
        <w:pStyle w:val="Heading2"/>
      </w:pPr>
      <w:r>
        <w:t>Research Quality and Release Standard</w:t>
      </w:r>
    </w:p>
    <w:p>
      <w:r>
        <w:t>Evidence sufficiency—not a predetermined number of interviews, survey responses, or citations—governs research decisions. Source-count targets remain evidence-development milestones, not publication prerequisites. Quality, independence, design strength, construct relevance, population fit, contradictory evidence, and decision usefulness take precedence over volume.</w:t>
      </w:r>
    </w:p>
    <w:sectPr w:rsidR="00FC693F" w:rsidRPr="0006063C" w:rsidSect="00034616">
      <w:footerReference w:type="default" r:id="rId9"/>
      <w:head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ResolveCX Research Series • Study #001 • Protocol v1.1</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