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#002: The Job Reality Gap Study</w:t>
      </w:r>
    </w:p>
    <w:p>
      <w:pPr>
        <w:jc w:val="center"/>
      </w:pPr>
      <w:r>
        <w:rPr>
          <w:i/>
          <w:sz w:val="26"/>
        </w:rPr>
        <w:t>What happens when the contact-center job people enter differs from the job they expected?</w:t>
      </w:r>
    </w:p>
    <w:p>
      <w:pPr>
        <w:jc w:val="center"/>
      </w:pPr>
      <w:r>
        <w:rPr>
          <w:b/>
          <w:sz w:val="22"/>
        </w:rPr>
        <w:t>RESEARCH PROTOCOL v1.2</w:t>
      </w:r>
    </w:p>
    <w:p>
      <w:pPr>
        <w:pStyle w:val="Heading1"/>
      </w:pPr>
      <w:r>
        <w:t>1. Research Integrity Statement</w:t>
      </w:r>
    </w:p>
    <w:p>
      <w:r>
        <w:t>ResolveCX research is designed to discover what is true, not to manufacture evidence for a preferred business thesis. Study #002 will report findings that support, weaken, narrow, or contradict the proposed role of pre-employment preparation with equal transparency. No claim will be made that ResolveCX reduces turnover, improves performance, accelerates proficiency, or produces ROI until appropriately designed intervention data support that claim.</w:t>
      </w:r>
    </w:p>
    <w:p>
      <w:pPr>
        <w:pStyle w:val="Heading1"/>
      </w:pPr>
      <w:r>
        <w:t>2. Central Research Question</w:t>
      </w:r>
    </w:p>
    <w:p>
      <w:r>
        <w:rPr>
          <w:b/>
        </w:rPr>
        <w:t>Among frontline contact-center employees, to what extent does the direction and magnitude of the gap between pre-employment expectations and experienced work reality predict newcomer adjustment, trust, engagement, proficiency, withdrawal, and retention, after accounting for job, employer, leadership, and labor-market conditions?</w:t>
      </w:r>
    </w:p>
    <w:p>
      <w:r>
        <w:t>Secondary question: Which expectation gaps, if any, are plausibly modifiable before employment or before independent production, and which are primarily the employer's responsibility?</w:t>
      </w:r>
    </w:p>
    <w:p>
      <w:pPr>
        <w:pStyle w:val="Heading1"/>
      </w:pPr>
      <w:r>
        <w:t>3. Study Position in the ResolveCX Program</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Study</w:t>
            </w:r>
          </w:p>
        </w:tc>
        <w:tc>
          <w:tcPr>
            <w:tcW w:type="dxa" w:w="3312"/>
            <w:shd w:fill="0B3A53"/>
          </w:tcPr>
          <w:p>
            <w:r>
              <w:rPr>
                <w:b/>
                <w:color w:val="FFFFFF"/>
              </w:rPr>
              <w:t>Primary Question</w:t>
            </w:r>
          </w:p>
        </w:tc>
        <w:tc>
          <w:tcPr>
            <w:tcW w:type="dxa" w:w="3312"/>
            <w:shd w:fill="0B3A53"/>
          </w:tcPr>
          <w:p>
            <w:r>
              <w:rPr>
                <w:b/>
                <w:color w:val="FFFFFF"/>
              </w:rPr>
              <w:t>Role</w:t>
            </w:r>
          </w:p>
        </w:tc>
      </w:tr>
      <w:tr>
        <w:tc>
          <w:tcPr>
            <w:tcW w:type="dxa" w:w="3312"/>
          </w:tcPr>
          <w:p>
            <w:r>
              <w:t>#001 New-Hire Survival</w:t>
            </w:r>
          </w:p>
        </w:tc>
        <w:tc>
          <w:tcPr>
            <w:tcW w:type="dxa" w:w="3312"/>
          </w:tcPr>
          <w:p>
            <w:r>
              <w:t>Who succeeds, struggles, disengages, or exits during the first year?</w:t>
            </w:r>
          </w:p>
        </w:tc>
        <w:tc>
          <w:tcPr>
            <w:tcW w:type="dxa" w:w="3312"/>
          </w:tcPr>
          <w:p>
            <w:r>
              <w:t>Outcome architecture</w:t>
            </w:r>
          </w:p>
        </w:tc>
      </w:tr>
      <w:tr>
        <w:tc>
          <w:tcPr>
            <w:tcW w:type="dxa" w:w="3312"/>
          </w:tcPr>
          <w:p>
            <w:r>
              <w:t>#002 Job Reality Gap</w:t>
            </w:r>
          </w:p>
        </w:tc>
        <w:tc>
          <w:tcPr>
            <w:tcW w:type="dxa" w:w="3312"/>
          </w:tcPr>
          <w:p>
            <w:r>
              <w:t>What differs between what people expected and what they actually experience?</w:t>
            </w:r>
          </w:p>
        </w:tc>
        <w:tc>
          <w:tcPr>
            <w:tcW w:type="dxa" w:w="3312"/>
          </w:tcPr>
          <w:p>
            <w:r>
              <w:t>Mechanism / explanatory architecture</w:t>
            </w:r>
          </w:p>
        </w:tc>
      </w:tr>
    </w:tbl>
    <w:p>
      <w:pPr>
        <w:pStyle w:val="Heading1"/>
      </w:pPr>
      <w:r>
        <w:t>4. Conceptual Model</w:t>
      </w:r>
    </w:p>
    <w:p>
      <w:r>
        <w:t>Study #002 treats expectation accuracy as multidimensional. It will not assume that every discrepancy is harmful, that every surprise is negative, or that realistic preparation is always beneficial. Direction matters: under-fulfillment, over-fulfillment, and accurate expectations will be analyzed separately where sample size permits.</w:t>
      </w:r>
    </w:p>
    <w:p>
      <w:r>
        <w:t>Proposed pathway:</w:t>
      </w:r>
    </w:p>
    <w:p>
      <w:r>
        <w:rPr>
          <w:b/>
        </w:rPr>
        <w:t>Expectation representation → experienced reality → gap direction/magnitude → perceived honesty/trust → adjustment → behavioral outcomes</w:t>
      </w:r>
    </w:p>
    <w:p>
      <w:pPr>
        <w:pStyle w:val="Heading1"/>
      </w:pPr>
      <w:r>
        <w:t>5. Core Hypotheses</w:t>
      </w:r>
    </w:p>
    <w:p>
      <w:r>
        <w:rPr>
          <w:b/>
        </w:rPr>
        <w:t>H1 — Expectation Accuracy</w:t>
      </w:r>
      <w:r>
        <w:t>: Smaller absolute expectation-reality gaps will be associated with stronger early adjustment, controlling for relevant covariates.</w:t>
      </w:r>
    </w:p>
    <w:p>
      <w:r>
        <w:rPr>
          <w:b/>
        </w:rPr>
        <w:t>H2 — Negative Gap Magnitude</w:t>
      </w:r>
      <w:r>
        <w:t>: Negative discrepancies in which experienced conditions are worse than expected will be associated with greater withdrawal and intention to leave.</w:t>
      </w:r>
    </w:p>
    <w:p>
      <w:r>
        <w:rPr>
          <w:b/>
        </w:rPr>
        <w:t>H3 — Organizational Honesty / Trust</w:t>
      </w:r>
      <w:r>
        <w:t>: More accurate representation of the job will be associated with stronger perceived organizational honesty and trust; these may partially explain relationships with downstream outcomes.</w:t>
      </w:r>
    </w:p>
    <w:p>
      <w:r>
        <w:rPr>
          <w:b/>
        </w:rPr>
        <w:t>H4 — Production Transition</w:t>
      </w:r>
      <w:r>
        <w:t>: Expectation gaps will become especially visible during the transition from training/nesting to independent production.</w:t>
      </w:r>
    </w:p>
    <w:p>
      <w:r>
        <w:rPr>
          <w:b/>
        </w:rPr>
        <w:t>H5 — Gap Type Matters</w:t>
      </w:r>
      <w:r>
        <w:t>: The predictive value of gaps will differ across dimensions; a single undifferentiated 'job shock' score may conceal important effects.</w:t>
      </w:r>
    </w:p>
    <w:p>
      <w:r>
        <w:rPr>
          <w:b/>
        </w:rPr>
        <w:t>H6 — Prior Experience Moderates Effects</w:t>
      </w:r>
      <w:r>
        <w:t>: Prior contact-center experience will moderate some expectation-reality relationships.</w:t>
      </w:r>
    </w:p>
    <w:p>
      <w:r>
        <w:rPr>
          <w:b/>
        </w:rPr>
        <w:t>H7 — Preparation Has Bounded Influence</w:t>
      </w:r>
      <w:r>
        <w:t>: Some gaps may be reduced through realistic preparation, while others will be primarily attributable to pay, staffing, scheduling, job design, technology, leadership, or employer-specific practices.</w:t>
      </w:r>
    </w:p>
    <w:p>
      <w:pPr>
        <w:pStyle w:val="Heading1"/>
      </w:pPr>
      <w:r>
        <w:t>6. Expectation–Reality Construct Map</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shd w:fill="0B3A53"/>
          </w:tcPr>
          <w:p>
            <w:r>
              <w:rPr>
                <w:b/>
                <w:color w:val="FFFFFF"/>
              </w:rPr>
              <w:t>Dimension</w:t>
            </w:r>
          </w:p>
        </w:tc>
        <w:tc>
          <w:tcPr>
            <w:tcW w:type="dxa" w:w="2484"/>
            <w:shd w:fill="0B3A53"/>
          </w:tcPr>
          <w:p>
            <w:r>
              <w:rPr>
                <w:b/>
                <w:color w:val="FFFFFF"/>
              </w:rPr>
              <w:t>Expected</w:t>
            </w:r>
          </w:p>
        </w:tc>
        <w:tc>
          <w:tcPr>
            <w:tcW w:type="dxa" w:w="2484"/>
            <w:shd w:fill="0B3A53"/>
          </w:tcPr>
          <w:p>
            <w:r>
              <w:rPr>
                <w:b/>
                <w:color w:val="FFFFFF"/>
              </w:rPr>
              <w:t>Experienced</w:t>
            </w:r>
          </w:p>
        </w:tc>
        <w:tc>
          <w:tcPr>
            <w:tcW w:type="dxa" w:w="2484"/>
            <w:shd w:fill="0B3A53"/>
          </w:tcPr>
          <w:p>
            <w:r>
              <w:rPr>
                <w:b/>
                <w:color w:val="FFFFFF"/>
              </w:rPr>
              <w:t>Derived Gap</w:t>
            </w:r>
          </w:p>
        </w:tc>
      </w:tr>
      <w:tr>
        <w:tc>
          <w:tcPr>
            <w:tcW w:type="dxa" w:w="2484"/>
          </w:tcPr>
          <w:p>
            <w:r>
              <w:t>Work pace / contact volume</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Emotional intensity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Customer hostility / incivility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Repetition</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Schedule rigidity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Performance monitoring</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Metric accountability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Technology complexity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Multitasking / channel switching</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Sales or cross-sell expectations</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Autonomy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Supervisor accessibility / coaching</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Peer support</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Workload / staffing pressure</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Change frequency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Career opportunity / mobility</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Recovery time between difficult contacts</w:t>
            </w:r>
          </w:p>
        </w:tc>
        <w:tc>
          <w:tcPr>
            <w:tcW w:type="dxa" w:w="2484"/>
          </w:tcPr>
          <w:p>
            <w:r>
              <w:t>T0 / retrospective</w:t>
            </w:r>
          </w:p>
        </w:tc>
        <w:tc>
          <w:tcPr>
            <w:tcW w:type="dxa" w:w="2484"/>
          </w:tcPr>
          <w:p>
            <w:r>
              <w:t>T1–T5</w:t>
            </w:r>
          </w:p>
        </w:tc>
        <w:tc>
          <w:tcPr>
            <w:tcW w:type="dxa" w:w="2484"/>
          </w:tcPr>
          <w:p>
            <w:r>
              <w:t>Direction + magnitude</w:t>
            </w:r>
          </w:p>
        </w:tc>
      </w:tr>
      <w:tr>
        <w:tc>
          <w:tcPr>
            <w:tcW w:type="dxa" w:w="2484"/>
          </w:tcPr>
          <w:p>
            <w:r>
              <w:t>Clarity of performance expectations</w:t>
            </w:r>
          </w:p>
        </w:tc>
        <w:tc>
          <w:tcPr>
            <w:tcW w:type="dxa" w:w="2484"/>
          </w:tcPr>
          <w:p>
            <w:r>
              <w:t>T0 / retrospective</w:t>
            </w:r>
          </w:p>
        </w:tc>
        <w:tc>
          <w:tcPr>
            <w:tcW w:type="dxa" w:w="2484"/>
          </w:tcPr>
          <w:p>
            <w:r>
              <w:t>T1–T5</w:t>
            </w:r>
          </w:p>
        </w:tc>
        <w:tc>
          <w:tcPr>
            <w:tcW w:type="dxa" w:w="2484"/>
          </w:tcPr>
          <w:p>
            <w:r>
              <w:t>Direction + magnitude</w:t>
            </w:r>
          </w:p>
        </w:tc>
      </w:tr>
    </w:tbl>
    <w:p>
      <w:pPr>
        <w:pStyle w:val="Heading1"/>
      </w:pPr>
      <w:r>
        <w:t>7. Outcomes</w:t>
      </w:r>
    </w:p>
    <w:p>
      <w:pPr>
        <w:pStyle w:val="ListBullet"/>
      </w:pPr>
      <w:r>
        <w:t>Adjustment: role clarity, task confidence/mastery, social integration.</w:t>
      </w:r>
    </w:p>
    <w:p>
      <w:pPr>
        <w:pStyle w:val="ListBullet"/>
      </w:pPr>
      <w:r>
        <w:t>Trust: perceived organizational honesty; supervisor/organizational trust where measured with defensible instruments.</w:t>
      </w:r>
    </w:p>
    <w:p>
      <w:pPr>
        <w:pStyle w:val="ListBullet"/>
      </w:pPr>
      <w:r>
        <w:t>Engagement / sustainability: exhaustion, withdrawal, absenteeism where available, and intent to leave.</w:t>
      </w:r>
    </w:p>
    <w:p>
      <w:pPr>
        <w:pStyle w:val="ListBullet"/>
      </w:pPr>
      <w:r>
        <w:t>Performance / proficiency: employer-defined proficiency, quality, resolution, adherence or other defensible operational outcomes where available.</w:t>
      </w:r>
    </w:p>
    <w:p>
      <w:pPr>
        <w:pStyle w:val="ListBullet"/>
      </w:pPr>
      <w:r>
        <w:t>Employment: training completion, production entry, Day 30, Day 90, Month 6 and Month 12 employment status.</w:t>
      </w:r>
    </w:p>
    <w:p>
      <w:pPr>
        <w:pStyle w:val="Heading1"/>
      </w:pPr>
      <w:r>
        <w:t>8. Confounders and Alternative Explanations</w:t>
      </w:r>
    </w:p>
    <w:p>
      <w:r>
        <w:t>Analyses must account for plausible alternative explanations, including wage/benefits, schedule, work arrangement, industry, employer, job complexity, prior contact-center experience, training duration, manager/supervisor context, cohort size, staffing pressure, labor-market conditions, and major organizational change. The study will not attribute turnover or poor adjustment to readiness when workplace conditions provide a stronger explanation.</w:t>
      </w:r>
    </w:p>
    <w:p>
      <w:pPr>
        <w:pStyle w:val="Heading1"/>
      </w:pPr>
      <w:r>
        <w:t>9. Falsification Register</w:t>
      </w:r>
    </w:p>
    <w:tbl>
      <w:tblPr>
        <w:tblStyle w:val="TableGrid"/>
        <w:tblW w:type="auto" w:w="0"/>
        <w:tblLook w:firstColumn="1" w:firstRow="1" w:lastColumn="0" w:lastRow="0" w:noHBand="0" w:noVBand="1" w:val="04A0"/>
      </w:tblPr>
      <w:tblGrid>
        <w:gridCol w:w="4968"/>
        <w:gridCol w:w="4968"/>
      </w:tblGrid>
      <w:tr>
        <w:tc>
          <w:tcPr>
            <w:tcW w:type="dxa" w:w="4968"/>
            <w:shd w:fill="8A2D2D"/>
          </w:tcPr>
          <w:p>
            <w:r>
              <w:rPr>
                <w:b/>
                <w:color w:val="FFFFFF"/>
              </w:rPr>
              <w:t>ID</w:t>
            </w:r>
          </w:p>
        </w:tc>
        <w:tc>
          <w:tcPr>
            <w:tcW w:type="dxa" w:w="4968"/>
            <w:shd w:fill="8A2D2D"/>
          </w:tcPr>
          <w:p>
            <w:r>
              <w:rPr>
                <w:b/>
                <w:color w:val="FFFFFF"/>
              </w:rPr>
              <w:t>Condition that weakens or narrows the thesis</w:t>
            </w:r>
          </w:p>
        </w:tc>
      </w:tr>
      <w:tr>
        <w:tc>
          <w:tcPr>
            <w:tcW w:type="dxa" w:w="4968"/>
          </w:tcPr>
          <w:p>
            <w:r>
              <w:t>F1</w:t>
            </w:r>
          </w:p>
        </w:tc>
        <w:tc>
          <w:tcPr>
            <w:tcW w:type="dxa" w:w="4968"/>
          </w:tcPr>
          <w:p>
            <w:r>
              <w:t>Expectation-reality gaps add little explanatory value after controls.</w:t>
            </w:r>
          </w:p>
        </w:tc>
      </w:tr>
      <w:tr>
        <w:tc>
          <w:tcPr>
            <w:tcW w:type="dxa" w:w="4968"/>
          </w:tcPr>
          <w:p>
            <w:r>
              <w:t>F2</w:t>
            </w:r>
          </w:p>
        </w:tc>
        <w:tc>
          <w:tcPr>
            <w:tcW w:type="dxa" w:w="4968"/>
          </w:tcPr>
          <w:p>
            <w:r>
              <w:t>Pay, schedule, leadership, staffing, job design, or employer conditions dominate the relationship with outcomes.</w:t>
            </w:r>
          </w:p>
        </w:tc>
      </w:tr>
      <w:tr>
        <w:tc>
          <w:tcPr>
            <w:tcW w:type="dxa" w:w="4968"/>
          </w:tcPr>
          <w:p>
            <w:r>
              <w:t>F3</w:t>
            </w:r>
          </w:p>
        </w:tc>
        <w:tc>
          <w:tcPr>
            <w:tcW w:type="dxa" w:w="4968"/>
          </w:tcPr>
          <w:p>
            <w:r>
              <w:t>Experienced contact-center employees show similar gaps, suggesting employer-specific conditions dominate occupational preparation.</w:t>
            </w:r>
          </w:p>
        </w:tc>
      </w:tr>
      <w:tr>
        <w:tc>
          <w:tcPr>
            <w:tcW w:type="dxa" w:w="4968"/>
          </w:tcPr>
          <w:p>
            <w:r>
              <w:t>F4</w:t>
            </w:r>
          </w:p>
        </w:tc>
        <w:tc>
          <w:tcPr>
            <w:tcW w:type="dxa" w:w="4968"/>
          </w:tcPr>
          <w:p>
            <w:r>
              <w:t>Realistic preparation improves expectation accuracy but not objective adjustment, proficiency, or retention outcomes.</w:t>
            </w:r>
          </w:p>
        </w:tc>
      </w:tr>
      <w:tr>
        <w:tc>
          <w:tcPr>
            <w:tcW w:type="dxa" w:w="4968"/>
          </w:tcPr>
          <w:p>
            <w:r>
              <w:t>F5</w:t>
            </w:r>
          </w:p>
        </w:tc>
        <w:tc>
          <w:tcPr>
            <w:tcW w:type="dxa" w:w="4968"/>
          </w:tcPr>
          <w:p>
            <w:r>
              <w:t>More realistic previews increase candidate withdrawal or reduce applicant attraction without sufficient downstream benefit.</w:t>
            </w:r>
          </w:p>
        </w:tc>
      </w:tr>
      <w:tr>
        <w:tc>
          <w:tcPr>
            <w:tcW w:type="dxa" w:w="4968"/>
          </w:tcPr>
          <w:p>
            <w:r>
              <w:t>F6</w:t>
            </w:r>
          </w:p>
        </w:tc>
        <w:tc>
          <w:tcPr>
            <w:tcW w:type="dxa" w:w="4968"/>
          </w:tcPr>
          <w:p>
            <w:r>
              <w:t>Effects fail to replicate across employers, industries, channels, or work arrangements.</w:t>
            </w:r>
          </w:p>
        </w:tc>
      </w:tr>
      <w:tr>
        <w:tc>
          <w:tcPr>
            <w:tcW w:type="dxa" w:w="4968"/>
          </w:tcPr>
          <w:p>
            <w:r>
              <w:t>F7</w:t>
            </w:r>
          </w:p>
        </w:tc>
        <w:tc>
          <w:tcPr>
            <w:tcW w:type="dxa" w:w="4968"/>
          </w:tcPr>
          <w:p>
            <w:r>
              <w:t>A proposed ResolveCX gap measure demonstrates inadequate reliability, construct validity, or predictive validity.</w:t>
            </w:r>
          </w:p>
        </w:tc>
      </w:tr>
    </w:tbl>
    <w:p>
      <w:pPr>
        <w:pStyle w:val="Heading1"/>
      </w:pPr>
      <w:r>
        <w:t>10. Evidence and Measurement Gate</w:t>
      </w:r>
    </w:p>
    <w:p>
      <w:r>
        <w:t>Evidence will be ranked: (1) meta-analyses/systematic reviews, (2) government/public datasets, (3) peer-reviewed empirical studies, (4) independent benchmarking, (5) large consulting research, (6) vendor studies/case reports, and (7) ResolveCX original research. Vendor evidence may illustrate mechanisms but will not establish causal claims.</w:t>
      </w:r>
    </w:p>
    <w:p>
      <w:r>
        <w:t>New ResolveCX measures will be labeled exploratory until cognitive testing, reliability assessment, factor/construct evaluation, and predictive testing support stronger claims. Where practical, validated measures will be preferred. Survey items will be cognitively tested before broad launch.</w:t>
      </w:r>
    </w:p>
    <w:p>
      <w:pPr>
        <w:pStyle w:val="Heading1"/>
      </w:pPr>
      <w:r>
        <w:t>11. Data Collection Architecture</w:t>
      </w:r>
    </w:p>
    <w:p>
      <w:pPr>
        <w:pStyle w:val="ListBullet"/>
      </w:pPr>
      <w:r>
        <w:t>Level 1 — Social listening / micro-prompts: exploratory qualitative signals only; never treated as representative findings.</w:t>
      </w:r>
    </w:p>
    <w:p>
      <w:pPr>
        <w:pStyle w:val="ListBullet"/>
      </w:pPr>
      <w:r>
        <w:t>Level 2 — Frontline Pulse: brief structured discovery questions with role/tenure branching.</w:t>
      </w:r>
    </w:p>
    <w:p>
      <w:pPr>
        <w:pStyle w:val="ListBullet"/>
      </w:pPr>
      <w:r>
        <w:t>Level 3 — Research survey: paired expectation and experience measures plus outcomes/covariates.</w:t>
      </w:r>
    </w:p>
    <w:p>
      <w:pPr>
        <w:pStyle w:val="ListBullet"/>
      </w:pPr>
      <w:r>
        <w:t>Level 4 — Structured interviews: stable core questions plus neutral probes; include positive and contradictory cases.</w:t>
      </w:r>
    </w:p>
    <w:p>
      <w:pPr>
        <w:pStyle w:val="ListBullet"/>
      </w:pPr>
      <w:r>
        <w:t>Level 5 — Employer cohort data: de-identified/aggregated training, proficiency, attendance, performance, and retention outcomes.</w:t>
      </w:r>
    </w:p>
    <w:p>
      <w:pPr>
        <w:pStyle w:val="ListBullet"/>
      </w:pPr>
      <w:r>
        <w:t>Level 6 — Longitudinal panel: T0 pre-production; T1 end training; T2 Day 30; T3 Day 90; T4 Month 6; T5 Month 12.</w:t>
      </w:r>
    </w:p>
    <w:p>
      <w:pPr>
        <w:pStyle w:val="Heading1"/>
      </w:pPr>
      <w:r>
        <w:t>12. Sampling and Representation</w:t>
      </w:r>
    </w:p>
    <w:p>
      <w:r>
        <w:t>Discovery sampling will deliberately seek multiple industries, employers, work arrangements, tenure bands, and stakeholder roles. Convenience and social-media samples will be labeled as such. Population-level or 'industry-wide' language will not be used until sampling and external validation justify it.</w:t>
      </w:r>
    </w:p>
    <w:p>
      <w:r>
        <w:t>Initial discovery milestones: 100+ frontline respondents; 25+ people who left within 12 months; 20+ supervisors; 10+ L&amp;D/trainers; 10+ WFM/operations; 10+ HR/recruiting; at least five industries and multiple employers. These are operational milestones, not statistical representativeness thresholds.</w:t>
      </w:r>
    </w:p>
    <w:p>
      <w:pPr>
        <w:pStyle w:val="Heading1"/>
      </w:pPr>
      <w:r>
        <w:t>13. Analysis Plan</w:t>
      </w:r>
    </w:p>
    <w:p>
      <w:pPr>
        <w:pStyle w:val="ListBullet"/>
      </w:pPr>
      <w:r>
        <w:t>Describe expectation and experience distributions separately before computing gap measures.</w:t>
      </w:r>
    </w:p>
    <w:p>
      <w:pPr>
        <w:pStyle w:val="ListBullet"/>
      </w:pPr>
      <w:r>
        <w:t>Analyze gap direction as well as magnitude; do not rely only on absolute difference scores.</w:t>
      </w:r>
    </w:p>
    <w:p>
      <w:pPr>
        <w:pStyle w:val="ListBullet"/>
      </w:pPr>
      <w:r>
        <w:t>Test dimension-level effects before constructing any composite Job Reality Gap Index.</w:t>
      </w:r>
    </w:p>
    <w:p>
      <w:pPr>
        <w:pStyle w:val="ListBullet"/>
      </w:pPr>
      <w:r>
        <w:t>Use multivariable models with prespecified covariates; cluster or model employer effects when data structure permits.</w:t>
      </w:r>
    </w:p>
    <w:p>
      <w:pPr>
        <w:pStyle w:val="ListBullet"/>
      </w:pPr>
      <w:r>
        <w:t>Separate exploratory analyses from confirmatory analyses.</w:t>
      </w:r>
    </w:p>
    <w:p>
      <w:pPr>
        <w:pStyle w:val="ListBullet"/>
      </w:pPr>
      <w:r>
        <w:t>Use time-to-event methods for retention when adequate longitudinal data exist.</w:t>
      </w:r>
    </w:p>
    <w:p>
      <w:pPr>
        <w:pStyle w:val="ListBullet"/>
      </w:pPr>
      <w:r>
        <w:t>Test moderation by prior experience, industry, work arrangement, and transition stage where power permits.</w:t>
      </w:r>
    </w:p>
    <w:p>
      <w:pPr>
        <w:pStyle w:val="ListBullet"/>
      </w:pPr>
      <w:r>
        <w:t>Report uncertainty, missingness, effect sizes, limitations, and null findings.</w:t>
      </w:r>
    </w:p>
    <w:p>
      <w:pPr>
        <w:pStyle w:val="Heading1"/>
      </w:pPr>
      <w:r>
        <w:t>14. Claim Ladder</w:t>
      </w:r>
    </w:p>
    <w:tbl>
      <w:tblPr>
        <w:tblStyle w:val="TableGrid"/>
        <w:tblW w:type="auto" w:w="0"/>
        <w:tblLook w:firstColumn="1" w:firstRow="1" w:lastColumn="0" w:lastRow="0" w:noHBand="0" w:noVBand="1" w:val="04A0"/>
      </w:tblPr>
      <w:tblGrid>
        <w:gridCol w:w="2484"/>
        <w:gridCol w:w="2484"/>
        <w:gridCol w:w="2484"/>
        <w:gridCol w:w="2484"/>
      </w:tblGrid>
      <w:tr>
        <w:tc>
          <w:tcPr>
            <w:tcW w:type="dxa" w:w="2484"/>
            <w:shd w:fill="0B3A53"/>
          </w:tcPr>
          <w:p>
            <w:r>
              <w:rPr>
                <w:b/>
                <w:color w:val="FFFFFF"/>
              </w:rPr>
              <w:t>Level</w:t>
            </w:r>
          </w:p>
        </w:tc>
        <w:tc>
          <w:tcPr>
            <w:tcW w:type="dxa" w:w="2484"/>
            <w:shd w:fill="0B3A53"/>
          </w:tcPr>
          <w:p>
            <w:r>
              <w:rPr>
                <w:b/>
                <w:color w:val="FFFFFF"/>
              </w:rPr>
              <w:t>Claim Type</w:t>
            </w:r>
          </w:p>
        </w:tc>
        <w:tc>
          <w:tcPr>
            <w:tcW w:type="dxa" w:w="2484"/>
            <w:shd w:fill="0B3A53"/>
          </w:tcPr>
          <w:p>
            <w:r>
              <w:rPr>
                <w:b/>
                <w:color w:val="FFFFFF"/>
              </w:rPr>
              <w:t>Permitted Language</w:t>
            </w:r>
          </w:p>
        </w:tc>
        <w:tc>
          <w:tcPr>
            <w:tcW w:type="dxa" w:w="2484"/>
            <w:shd w:fill="0B3A53"/>
          </w:tcPr>
          <w:p>
            <w:r>
              <w:rPr>
                <w:b/>
                <w:color w:val="FFFFFF"/>
              </w:rPr>
              <w:t>Minimum Evidence</w:t>
            </w:r>
          </w:p>
        </w:tc>
      </w:tr>
      <w:tr>
        <w:tc>
          <w:tcPr>
            <w:tcW w:type="dxa" w:w="2484"/>
          </w:tcPr>
          <w:p>
            <w:r>
              <w:t>Level 0</w:t>
            </w:r>
          </w:p>
        </w:tc>
        <w:tc>
          <w:tcPr>
            <w:tcW w:type="dxa" w:w="2484"/>
          </w:tcPr>
          <w:p>
            <w:r>
              <w:t>Observation</w:t>
            </w:r>
          </w:p>
        </w:tc>
        <w:tc>
          <w:tcPr>
            <w:tcW w:type="dxa" w:w="2484"/>
          </w:tcPr>
          <w:p>
            <w:r>
              <w:t>Participants commonly mention X.</w:t>
            </w:r>
          </w:p>
        </w:tc>
        <w:tc>
          <w:tcPr>
            <w:tcW w:type="dxa" w:w="2484"/>
          </w:tcPr>
          <w:p>
            <w:r>
              <w:t>Exploratory comments/interviews</w:t>
            </w:r>
          </w:p>
        </w:tc>
      </w:tr>
      <w:tr>
        <w:tc>
          <w:tcPr>
            <w:tcW w:type="dxa" w:w="2484"/>
          </w:tcPr>
          <w:p>
            <w:r>
              <w:t>Level 1</w:t>
            </w:r>
          </w:p>
        </w:tc>
        <w:tc>
          <w:tcPr>
            <w:tcW w:type="dxa" w:w="2484"/>
          </w:tcPr>
          <w:p>
            <w:r>
              <w:t>Association</w:t>
            </w:r>
          </w:p>
        </w:tc>
        <w:tc>
          <w:tcPr>
            <w:tcW w:type="dxa" w:w="2484"/>
          </w:tcPr>
          <w:p>
            <w:r>
              <w:t>X is associated with Y in this sample.</w:t>
            </w:r>
          </w:p>
        </w:tc>
        <w:tc>
          <w:tcPr>
            <w:tcW w:type="dxa" w:w="2484"/>
          </w:tcPr>
          <w:p>
            <w:r>
              <w:t>Adequate cross-sectional data + controls</w:t>
            </w:r>
          </w:p>
        </w:tc>
      </w:tr>
      <w:tr>
        <w:tc>
          <w:tcPr>
            <w:tcW w:type="dxa" w:w="2484"/>
          </w:tcPr>
          <w:p>
            <w:r>
              <w:t>Level 2</w:t>
            </w:r>
          </w:p>
        </w:tc>
        <w:tc>
          <w:tcPr>
            <w:tcW w:type="dxa" w:w="2484"/>
          </w:tcPr>
          <w:p>
            <w:r>
              <w:t>Prediction</w:t>
            </w:r>
          </w:p>
        </w:tc>
        <w:tc>
          <w:tcPr>
            <w:tcW w:type="dxa" w:w="2484"/>
          </w:tcPr>
          <w:p>
            <w:r>
              <w:t>X predicts later Y.</w:t>
            </w:r>
          </w:p>
        </w:tc>
        <w:tc>
          <w:tcPr>
            <w:tcW w:type="dxa" w:w="2484"/>
          </w:tcPr>
          <w:p>
            <w:r>
              <w:t>Longitudinal evidence</w:t>
            </w:r>
          </w:p>
        </w:tc>
      </w:tr>
      <w:tr>
        <w:tc>
          <w:tcPr>
            <w:tcW w:type="dxa" w:w="2484"/>
          </w:tcPr>
          <w:p>
            <w:r>
              <w:t>Level 3</w:t>
            </w:r>
          </w:p>
        </w:tc>
        <w:tc>
          <w:tcPr>
            <w:tcW w:type="dxa" w:w="2484"/>
          </w:tcPr>
          <w:p>
            <w:r>
              <w:t>Replication</w:t>
            </w:r>
          </w:p>
        </w:tc>
        <w:tc>
          <w:tcPr>
            <w:tcW w:type="dxa" w:w="2484"/>
          </w:tcPr>
          <w:p>
            <w:r>
              <w:t>The relationship appears across contexts.</w:t>
            </w:r>
          </w:p>
        </w:tc>
        <w:tc>
          <w:tcPr>
            <w:tcW w:type="dxa" w:w="2484"/>
          </w:tcPr>
          <w:p>
            <w:r>
              <w:t>Multiple employers/industries</w:t>
            </w:r>
          </w:p>
        </w:tc>
      </w:tr>
      <w:tr>
        <w:tc>
          <w:tcPr>
            <w:tcW w:type="dxa" w:w="2484"/>
          </w:tcPr>
          <w:p>
            <w:r>
              <w:t>Level 4</w:t>
            </w:r>
          </w:p>
        </w:tc>
        <w:tc>
          <w:tcPr>
            <w:tcW w:type="dxa" w:w="2484"/>
          </w:tcPr>
          <w:p>
            <w:r>
              <w:t>Intervention effect</w:t>
            </w:r>
          </w:p>
        </w:tc>
        <w:tc>
          <w:tcPr>
            <w:tcW w:type="dxa" w:w="2484"/>
          </w:tcPr>
          <w:p>
            <w:r>
              <w:t>Changing preparation changes outcomes.</w:t>
            </w:r>
          </w:p>
        </w:tc>
        <w:tc>
          <w:tcPr>
            <w:tcW w:type="dxa" w:w="2484"/>
          </w:tcPr>
          <w:p>
            <w:r>
              <w:t>Prospective comparison / experimental or strong quasi-experimental design</w:t>
            </w:r>
          </w:p>
        </w:tc>
      </w:tr>
      <w:tr>
        <w:tc>
          <w:tcPr>
            <w:tcW w:type="dxa" w:w="2484"/>
          </w:tcPr>
          <w:p>
            <w:r>
              <w:t>Level 5</w:t>
            </w:r>
          </w:p>
        </w:tc>
        <w:tc>
          <w:tcPr>
            <w:tcW w:type="dxa" w:w="2484"/>
          </w:tcPr>
          <w:p>
            <w:r>
              <w:t>Economic value</w:t>
            </w:r>
          </w:p>
        </w:tc>
        <w:tc>
          <w:tcPr>
            <w:tcW w:type="dxa" w:w="2484"/>
          </w:tcPr>
          <w:p>
            <w:r>
              <w:t>The intervention produces measurable economic value.</w:t>
            </w:r>
          </w:p>
        </w:tc>
        <w:tc>
          <w:tcPr>
            <w:tcW w:type="dxa" w:w="2484"/>
          </w:tcPr>
          <w:p>
            <w:r>
              <w:t>Validated outcome + cost/benefit analysis</w:t>
            </w:r>
          </w:p>
        </w:tc>
      </w:tr>
    </w:tbl>
    <w:p>
      <w:pPr>
        <w:pStyle w:val="Heading1"/>
      </w:pPr>
      <w:r>
        <w:t>15. Study #002 Interview Core</w:t>
      </w:r>
    </w:p>
    <w:p>
      <w:pPr>
        <w:pStyle w:val="ListNumber"/>
      </w:pPr>
      <w:r>
        <w:t>Before you started, what did you believe the day-to-day job would be like?</w:t>
      </w:r>
    </w:p>
    <w:p>
      <w:pPr>
        <w:pStyle w:val="ListNumber"/>
      </w:pPr>
      <w:r>
        <w:t>What surprised you most once you began handling live customer contacts?</w:t>
      </w:r>
    </w:p>
    <w:p>
      <w:pPr>
        <w:pStyle w:val="ListNumber"/>
      </w:pPr>
      <w:r>
        <w:t>Which parts of the job were easier, harder, or simply different from what you expected?</w:t>
      </w:r>
    </w:p>
    <w:p>
      <w:pPr>
        <w:pStyle w:val="ListNumber"/>
      </w:pPr>
      <w:r>
        <w:t>How accurately do you believe recruiting and training represented the work? What leads you to that answer?</w:t>
      </w:r>
    </w:p>
    <w:p>
      <w:pPr>
        <w:pStyle w:val="ListNumber"/>
      </w:pPr>
      <w:r>
        <w:t>Was there a moment when your view of the job changed? What happened?</w:t>
      </w:r>
    </w:p>
    <w:p>
      <w:pPr>
        <w:pStyle w:val="ListNumber"/>
      </w:pPr>
      <w:r>
        <w:t>What, if anything, would have been useful to know before accepting the job?</w:t>
      </w:r>
    </w:p>
    <w:p>
      <w:pPr>
        <w:pStyle w:val="ListNumber"/>
      </w:pPr>
      <w:r>
        <w:t>What should employers be responsible for changing rather than asking new hires to prepare for?</w:t>
      </w:r>
    </w:p>
    <w:p>
      <w:pPr>
        <w:pStyle w:val="ListNumber"/>
      </w:pPr>
      <w:r>
        <w:t>If your preparation worked well, what specifically made it effective?</w:t>
      </w:r>
    </w:p>
    <w:p>
      <w:pPr>
        <w:pStyle w:val="ListNumber"/>
      </w:pPr>
      <w:r>
        <w:t>What would make you disagree with the idea that better pre-employment preparation would improve this transition?</w:t>
      </w:r>
    </w:p>
    <w:p>
      <w:pPr>
        <w:pStyle w:val="Heading1"/>
      </w:pPr>
      <w:r>
        <w:t>16. Social Listening Prompts</w:t>
      </w:r>
    </w:p>
    <w:p>
      <w:r>
        <w:t>Approved prompts are intentionally neutral enough to capture negative, positive, and contradictory cases. Comments remain exploratory and are stored separately from formal research responses.</w:t>
      </w:r>
    </w:p>
    <w:p>
      <w:pPr>
        <w:pStyle w:val="ListBullet"/>
      </w:pPr>
      <w:r>
        <w:t>What surprised you most about real contact-center work?</w:t>
      </w:r>
    </w:p>
    <w:p>
      <w:pPr>
        <w:pStyle w:val="ListBullet"/>
      </w:pPr>
      <w:r>
        <w:t>What did you expect before your first live interaction—and what was actually different?</w:t>
      </w:r>
    </w:p>
    <w:p>
      <w:pPr>
        <w:pStyle w:val="ListBullet"/>
      </w:pPr>
      <w:r>
        <w:t>What is one thing training prepared you for well?</w:t>
      </w:r>
    </w:p>
    <w:p>
      <w:pPr>
        <w:pStyle w:val="ListBullet"/>
      </w:pPr>
      <w:r>
        <w:t>What is one thing you wish you had known before accepting the job?</w:t>
      </w:r>
    </w:p>
    <w:p>
      <w:pPr>
        <w:pStyle w:val="ListBullet"/>
      </w:pPr>
      <w:r>
        <w:t>What is one problem new hires cannot 'prepare' their way around because the employer must fix it?</w:t>
      </w:r>
    </w:p>
    <w:p>
      <w:pPr>
        <w:pStyle w:val="Heading1"/>
      </w:pPr>
      <w:r>
        <w:t>17. Pre-Registration and Change Control</w:t>
      </w:r>
    </w:p>
    <w:p>
      <w:r>
        <w:t>Before confirmatory testing, ResolveCX should timestamp the hypotheses, primary outcomes, exclusion rules, covariates, analysis plan, and falsification conditions in a preregistration. Any post-registration changes should be logged with date, rationale, and whether the change occurred before or after outcome inspection. Exploratory analyses must remain clearly labeled.</w:t>
      </w:r>
    </w:p>
    <w:p>
      <w:pPr>
        <w:pStyle w:val="Heading1"/>
      </w:pPr>
      <w:r>
        <w:t>18. Ethics, Privacy, and Data Handling</w:t>
      </w:r>
    </w:p>
    <w:p>
      <w:r>
        <w:t>Participation is voluntary. Public prompts should instruct participants not to disclose confidential employer or customer information. Contact information for interviews should be collected separately from research responses where feasible. Employer data should be de-identified or aggregated, access-limited, and used only for agreed research purposes. ResolveCX should not publicly identify employers from participant comments without permission.</w:t>
      </w:r>
    </w:p>
    <w:p>
      <w:pPr>
        <w:pStyle w:val="Heading1"/>
      </w:pPr>
      <w:r>
        <w:t>19. Research Quality and Release Standards</w:t>
      </w:r>
    </w:p>
    <w:p>
      <w:r>
        <w:t>1. Construct validity defined before claims</w:t>
      </w:r>
    </w:p>
    <w:p>
      <w:r>
        <w:t>2. Evidence hierarchy followed</w:t>
      </w:r>
    </w:p>
    <w:p>
      <w:r>
        <w:t>3. Cross-industry and multi-employer representation pursued</w:t>
      </w:r>
    </w:p>
    <w:p>
      <w:r>
        <w:t>4. Multiple stakeholder perspectives included</w:t>
      </w:r>
    </w:p>
    <w:p>
      <w:r>
        <w:t>5. Validated measures preferred where available</w:t>
      </w:r>
    </w:p>
    <w:p>
      <w:r>
        <w:t>6. Objective outcomes added where feasible</w:t>
      </w:r>
    </w:p>
    <w:p>
      <w:r>
        <w:t>7. Confounders and alternative explanations modeled</w:t>
      </w:r>
    </w:p>
    <w:p>
      <w:r>
        <w:t>8. Falsification conditions preregistered</w:t>
      </w:r>
    </w:p>
    <w:p>
      <w:r>
        <w:t>9. Methods/change log reproducible</w:t>
      </w:r>
    </w:p>
    <w:p>
      <w:r>
        <w:t>10. External replication required before industry-wide claims</w:t>
      </w:r>
    </w:p>
    <w:p>
      <w:pPr>
        <w:pStyle w:val="Heading1"/>
      </w:pPr>
      <w:r>
        <w:t>20. Evidence Anchors</w:t>
      </w:r>
    </w:p>
    <w:p>
      <w:r>
        <w:t>Wanous, Poland, Premack &amp; Davis (1992), Journal of Applied Psychology: meta-analysis of 31 studies / 17,241 people; met expectations related to satisfaction/commitment, intent to leave, job survival and performance, with important heterogeneity. DOI 10.1037/0021-9010.77.3.288.</w:t>
      </w:r>
    </w:p>
    <w:p>
      <w:r>
        <w:t>Earnest, Allen &amp; Landis (2011), Personnel Psychology: meta-analytic path analysis of 52 studies / roughly 17,000 participants; perceived organizational honesty was identified as a primary mechanism linking realistic job previews with voluntary turnover. DOI 10.1111/j.1744-6570.2011.01230.x.</w:t>
      </w:r>
    </w:p>
    <w:p>
      <w:r>
        <w:t>These anchors justify investigation; they do not establish that the same mechanisms or effect sizes apply to modern contact-center populations.</w:t>
      </w:r>
    </w:p>
    <w:p>
      <w:pPr>
        <w:pStyle w:val="Heading1"/>
      </w:pPr>
      <w:r>
        <w:t>21. Immediate Implementation Sequence</w:t>
      </w:r>
    </w:p>
    <w:p>
      <w:pPr>
        <w:pStyle w:val="ListNumber"/>
      </w:pPr>
      <w:r>
        <w:t>Freeze Protocol v1.2 and create the Study #002 Evidence Registry.</w:t>
      </w:r>
    </w:p>
    <w:p>
      <w:pPr>
        <w:pStyle w:val="ListNumber"/>
      </w:pPr>
      <w:r>
        <w:t>If original paired items remain necessary after the Evidence Sufficiency Review, run 5–10 cognitive interviews on paired expectation/experience wording before broad survey launch.</w:t>
      </w:r>
    </w:p>
    <w:p>
      <w:pPr>
        <w:pStyle w:val="ListNumber"/>
      </w:pPr>
      <w:r>
        <w:t>Add Study #002 branching to the Study #001 participant flow rather than creating unnecessary duplicate participant burden.</w:t>
      </w:r>
    </w:p>
    <w:p>
      <w:pPr>
        <w:pStyle w:val="ListNumber"/>
      </w:pPr>
      <w:r>
        <w:t>Begin social listening using one question at a time; code responses as exploratory only.</w:t>
      </w:r>
    </w:p>
    <w:p>
      <w:pPr>
        <w:pStyle w:val="ListNumber"/>
      </w:pPr>
      <w:r>
        <w:t>Recruit positive cases, early leavers, experienced agents, and multiple stakeholder roles—not only dissatisfied employees.</w:t>
      </w:r>
    </w:p>
    <w:p>
      <w:pPr>
        <w:pStyle w:val="ListNumber"/>
      </w:pPr>
      <w:r>
        <w:t>Secure de-identified employer cohort data where possible.</w:t>
      </w:r>
    </w:p>
    <w:p>
      <w:pPr>
        <w:pStyle w:val="ListNumber"/>
      </w:pPr>
      <w:r>
        <w:t>Preregister the confirmatory phase before testing predictive hypotheses.</w:t>
      </w:r>
    </w:p>
    <w:p>
      <w:pPr>
        <w:pStyle w:val="ListNumber"/>
      </w:pPr>
      <w:r>
        <w:t>Publish briefs only at the claim level supported by the evidence.</w:t>
      </w:r>
    </w:p>
    <w:p>
      <w:r>
        <w:br w:type="page"/>
      </w:r>
    </w:p>
    <w:p>
      <w:pPr>
        <w:pStyle w:val="Heading1"/>
      </w:pPr>
      <w:r>
        <w:t>Evidence Sufficiency Amendment — External Evidence First</w:t>
      </w:r>
    </w:p>
    <w:p>
      <w:r>
        <w:t>Research Status: Ongoing. This amendment supersedes any earlier wording that could be read as requiring surveys or interviews by default. ResolveCX will use the strongest credible external evidence and existing datasets first. Original interviews, surveys, employer data, longitudinal collection, or intervention research will be used only when they answer a material question that existing evidence cannot answer with sufficient relevance, quality, recency, population fit, or causal strength.</w:t>
      </w:r>
    </w:p>
    <w:p>
      <w:pPr>
        <w:pStyle w:val="Heading2"/>
      </w:pPr>
      <w:r>
        <w:t>Evidence Sufficiency Decision Framework</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Evidence status</w:t>
            </w:r>
          </w:p>
        </w:tc>
        <w:tc>
          <w:tcPr>
            <w:tcW w:type="dxa" w:w="4968"/>
            <w:shd w:fill="0B3A53"/>
          </w:tcPr>
          <w:p>
            <w:r>
              <w:rPr>
                <w:b/>
                <w:color w:val="FFFFFF"/>
                <w:sz w:val="18"/>
              </w:rPr>
              <w:t>Decision rule</w:t>
            </w:r>
          </w:p>
        </w:tc>
      </w:tr>
      <w:tr>
        <w:tc>
          <w:tcPr>
            <w:tcW w:type="dxa" w:w="4968"/>
          </w:tcPr>
          <w:p>
            <w:r>
              <w:rPr>
                <w:sz w:val="17"/>
              </w:rPr>
              <w:t>ESTABLISHED</w:t>
            </w:r>
          </w:p>
        </w:tc>
        <w:tc>
          <w:tcPr>
            <w:tcW w:type="dxa" w:w="4968"/>
          </w:tcPr>
          <w:p>
            <w:r>
              <w:rPr>
                <w:sz w:val="17"/>
              </w:rPr>
              <w:t>Adopt the finding as external evidence. Do not repeat primary research merely to reproduce it.</w:t>
            </w:r>
          </w:p>
        </w:tc>
      </w:tr>
      <w:tr>
        <w:tc>
          <w:tcPr>
            <w:tcW w:type="dxa" w:w="4968"/>
          </w:tcPr>
          <w:p>
            <w:r>
              <w:rPr>
                <w:sz w:val="17"/>
              </w:rPr>
              <w:t>SUPPORTED BUT TRANSFERABILITY UNKNOWN</w:t>
            </w:r>
          </w:p>
        </w:tc>
        <w:tc>
          <w:tcPr>
            <w:tcW w:type="dxa" w:w="4968"/>
          </w:tcPr>
          <w:p>
            <w:r>
              <w:rPr>
                <w:sz w:val="17"/>
              </w:rPr>
              <w:t>Collect only the minimum targeted evidence needed to test applicability to modern contact-center settings.</w:t>
            </w:r>
          </w:p>
        </w:tc>
      </w:tr>
      <w:tr>
        <w:tc>
          <w:tcPr>
            <w:tcW w:type="dxa" w:w="4968"/>
          </w:tcPr>
          <w:p>
            <w:r>
              <w:rPr>
                <w:sz w:val="17"/>
              </w:rPr>
              <w:t>MIXED</w:t>
            </w:r>
          </w:p>
        </w:tc>
        <w:tc>
          <w:tcPr>
            <w:tcW w:type="dxa" w:w="4968"/>
          </w:tcPr>
          <w:p>
            <w:r>
              <w:rPr>
                <w:sz w:val="17"/>
              </w:rPr>
              <w:t>Investigate moderators, contexts, mechanisms, measurement differences, and reasons credible studies disagree.</w:t>
            </w:r>
          </w:p>
        </w:tc>
      </w:tr>
      <w:tr>
        <w:tc>
          <w:tcPr>
            <w:tcW w:type="dxa" w:w="4968"/>
          </w:tcPr>
          <w:p>
            <w:r>
              <w:rPr>
                <w:sz w:val="17"/>
              </w:rPr>
              <w:t>EVIDENCE GAP</w:t>
            </w:r>
          </w:p>
        </w:tc>
        <w:tc>
          <w:tcPr>
            <w:tcW w:type="dxa" w:w="4968"/>
          </w:tcPr>
          <w:p>
            <w:r>
              <w:rPr>
                <w:sz w:val="17"/>
              </w:rPr>
              <w:t>Primary research is justified if the unanswered question is material to ResolveCX.</w:t>
            </w:r>
          </w:p>
        </w:tc>
      </w:tr>
      <w:tr>
        <w:tc>
          <w:tcPr>
            <w:tcW w:type="dxa" w:w="4968"/>
          </w:tcPr>
          <w:p>
            <w:r>
              <w:rPr>
                <w:sz w:val="17"/>
              </w:rPr>
              <w:t>CONTRADICTED</w:t>
            </w:r>
          </w:p>
        </w:tc>
        <w:tc>
          <w:tcPr>
            <w:tcW w:type="dxa" w:w="4968"/>
          </w:tcPr>
          <w:p>
            <w:r>
              <w:rPr>
                <w:sz w:val="17"/>
              </w:rPr>
              <w:t>Revise, narrow, or reject the hypothesis unless a clearly documented context-specific reason justifies further testing.</w:t>
            </w:r>
          </w:p>
        </w:tc>
      </w:tr>
      <w:tr>
        <w:tc>
          <w:tcPr>
            <w:tcW w:type="dxa" w:w="4968"/>
          </w:tcPr>
          <w:p>
            <w:r>
              <w:rPr>
                <w:sz w:val="17"/>
              </w:rPr>
              <w:t>RESOLVECX-SPECIFIC GAP</w:t>
            </w:r>
          </w:p>
        </w:tc>
        <w:tc>
          <w:tcPr>
            <w:tcW w:type="dxa" w:w="4968"/>
          </w:tcPr>
          <w:p>
            <w:r>
              <w:rPr>
                <w:sz w:val="17"/>
              </w:rPr>
              <w:t>General theory may be established, but ResolveCX's proposed preparation, assessment, pathway, or intervention remains untested and requires direct evidence before effectiveness claims.</w:t>
            </w:r>
          </w:p>
        </w:tc>
      </w:tr>
    </w:tbl>
    <w:p>
      <w:pPr>
        <w:pStyle w:val="Heading2"/>
      </w:pPr>
      <w:r>
        <w:t>Hypothesis-Level Evidence Triage</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sz w:val="18"/>
              </w:rPr>
              <w:t>Hypothesis</w:t>
            </w:r>
          </w:p>
        </w:tc>
        <w:tc>
          <w:tcPr>
            <w:tcW w:type="dxa" w:w="3312"/>
            <w:shd w:fill="0B3A53"/>
          </w:tcPr>
          <w:p>
            <w:r>
              <w:rPr>
                <w:b/>
                <w:color w:val="FFFFFF"/>
                <w:sz w:val="18"/>
              </w:rPr>
              <w:t>Current evidence decision</w:t>
            </w:r>
          </w:p>
        </w:tc>
        <w:tc>
          <w:tcPr>
            <w:tcW w:type="dxa" w:w="3312"/>
            <w:shd w:fill="0B3A53"/>
          </w:tcPr>
          <w:p>
            <w:r>
              <w:rPr>
                <w:b/>
                <w:color w:val="FFFFFF"/>
                <w:sz w:val="18"/>
              </w:rPr>
              <w:t>Implication for new data</w:t>
            </w:r>
          </w:p>
        </w:tc>
      </w:tr>
      <w:tr>
        <w:tc>
          <w:tcPr>
            <w:tcW w:type="dxa" w:w="3312"/>
          </w:tcPr>
          <w:p>
            <w:r>
              <w:rPr>
                <w:sz w:val="17"/>
              </w:rPr>
              <w:t>H1 — Expectation Accuracy</w:t>
            </w:r>
          </w:p>
        </w:tc>
        <w:tc>
          <w:tcPr>
            <w:tcW w:type="dxa" w:w="3312"/>
          </w:tcPr>
          <w:p>
            <w:r>
              <w:rPr>
                <w:sz w:val="17"/>
              </w:rPr>
              <w:t>ESTABLISHED FOUNDATION</w:t>
            </w:r>
          </w:p>
        </w:tc>
        <w:tc>
          <w:tcPr>
            <w:tcW w:type="dxa" w:w="3312"/>
          </w:tcPr>
          <w:p>
            <w:r>
              <w:rPr>
                <w:sz w:val="17"/>
              </w:rPr>
              <w:t>Meta-analytic evidence supports relationships between met expectations/realistic previews and adjustment-related outcomes. Original research should test contact-center transferability and dimensions.</w:t>
            </w:r>
          </w:p>
        </w:tc>
      </w:tr>
      <w:tr>
        <w:tc>
          <w:tcPr>
            <w:tcW w:type="dxa" w:w="3312"/>
          </w:tcPr>
          <w:p>
            <w:r>
              <w:rPr>
                <w:sz w:val="17"/>
              </w:rPr>
              <w:t>H2 — Negative Gap Magnitude</w:t>
            </w:r>
          </w:p>
        </w:tc>
        <w:tc>
          <w:tcPr>
            <w:tcW w:type="dxa" w:w="3312"/>
          </w:tcPr>
          <w:p>
            <w:r>
              <w:rPr>
                <w:sz w:val="17"/>
              </w:rPr>
              <w:t>SUPPORTED / REFINEMENT NEEDED</w:t>
            </w:r>
          </w:p>
        </w:tc>
        <w:tc>
          <w:tcPr>
            <w:tcW w:type="dxa" w:w="3312"/>
          </w:tcPr>
          <w:p>
            <w:r>
              <w:rPr>
                <w:sz w:val="17"/>
              </w:rPr>
              <w:t>Existing research supports discrepancy effects, but direction and dimension-specific contact-center effects still warrant targeted testing.</w:t>
            </w:r>
          </w:p>
        </w:tc>
      </w:tr>
      <w:tr>
        <w:tc>
          <w:tcPr>
            <w:tcW w:type="dxa" w:w="3312"/>
          </w:tcPr>
          <w:p>
            <w:r>
              <w:rPr>
                <w:sz w:val="17"/>
              </w:rPr>
              <w:t>H3 — Organizational Honesty / Trust</w:t>
            </w:r>
          </w:p>
        </w:tc>
        <w:tc>
          <w:tcPr>
            <w:tcW w:type="dxa" w:w="3312"/>
          </w:tcPr>
          <w:p>
            <w:r>
              <w:rPr>
                <w:sz w:val="17"/>
              </w:rPr>
              <w:t>ESTABLISHED FOUNDATION</w:t>
            </w:r>
          </w:p>
        </w:tc>
        <w:tc>
          <w:tcPr>
            <w:tcW w:type="dxa" w:w="3312"/>
          </w:tcPr>
          <w:p>
            <w:r>
              <w:rPr>
                <w:sz w:val="17"/>
              </w:rPr>
              <w:t>Meta-analytic realistic-job-preview evidence identifies perceived organizational honesty as an important mechanism. ResolveCX need not re-prove the general mechanism.</w:t>
            </w:r>
          </w:p>
        </w:tc>
      </w:tr>
      <w:tr>
        <w:tc>
          <w:tcPr>
            <w:tcW w:type="dxa" w:w="3312"/>
          </w:tcPr>
          <w:p>
            <w:r>
              <w:rPr>
                <w:sz w:val="17"/>
              </w:rPr>
              <w:t>H4 — Production Transition</w:t>
            </w:r>
          </w:p>
        </w:tc>
        <w:tc>
          <w:tcPr>
            <w:tcW w:type="dxa" w:w="3312"/>
          </w:tcPr>
          <w:p>
            <w:r>
              <w:rPr>
                <w:sz w:val="17"/>
              </w:rPr>
              <w:t>RESOLVECX-SPECIFIC GAP</w:t>
            </w:r>
          </w:p>
        </w:tc>
        <w:tc>
          <w:tcPr>
            <w:tcW w:type="dxa" w:w="3312"/>
          </w:tcPr>
          <w:p>
            <w:r>
              <w:rPr>
                <w:sz w:val="17"/>
              </w:rPr>
              <w:t>The point at which expectation gaps become salient in the training/nesting-to-production transition remains a targeted contact-center question.</w:t>
            </w:r>
          </w:p>
        </w:tc>
      </w:tr>
      <w:tr>
        <w:tc>
          <w:tcPr>
            <w:tcW w:type="dxa" w:w="3312"/>
          </w:tcPr>
          <w:p>
            <w:r>
              <w:rPr>
                <w:sz w:val="17"/>
              </w:rPr>
              <w:t>H5 — Gap Type Matters</w:t>
            </w:r>
          </w:p>
        </w:tc>
        <w:tc>
          <w:tcPr>
            <w:tcW w:type="dxa" w:w="3312"/>
          </w:tcPr>
          <w:p>
            <w:r>
              <w:rPr>
                <w:sz w:val="17"/>
              </w:rPr>
              <w:t>MIXED / TARGETED TEST</w:t>
            </w:r>
          </w:p>
        </w:tc>
        <w:tc>
          <w:tcPr>
            <w:tcW w:type="dxa" w:w="3312"/>
          </w:tcPr>
          <w:p>
            <w:r>
              <w:rPr>
                <w:sz w:val="17"/>
              </w:rPr>
              <w:t>Heterogeneity in prior research justifies dimension-level analysis rather than assuming one global gap score.</w:t>
            </w:r>
          </w:p>
        </w:tc>
      </w:tr>
      <w:tr>
        <w:tc>
          <w:tcPr>
            <w:tcW w:type="dxa" w:w="3312"/>
          </w:tcPr>
          <w:p>
            <w:r>
              <w:rPr>
                <w:sz w:val="17"/>
              </w:rPr>
              <w:t>H6 — Prior Experience Moderates Effects</w:t>
            </w:r>
          </w:p>
        </w:tc>
        <w:tc>
          <w:tcPr>
            <w:tcW w:type="dxa" w:w="3312"/>
          </w:tcPr>
          <w:p>
            <w:r>
              <w:rPr>
                <w:sz w:val="17"/>
              </w:rPr>
              <w:t>EVIDENCE GAP</w:t>
            </w:r>
          </w:p>
        </w:tc>
        <w:tc>
          <w:tcPr>
            <w:tcW w:type="dxa" w:w="3312"/>
          </w:tcPr>
          <w:p>
            <w:r>
              <w:rPr>
                <w:sz w:val="17"/>
              </w:rPr>
              <w:t>Test only if external review does not already resolve the moderator sufficiently for comparable settings.</w:t>
            </w:r>
          </w:p>
        </w:tc>
      </w:tr>
      <w:tr>
        <w:tc>
          <w:tcPr>
            <w:tcW w:type="dxa" w:w="3312"/>
          </w:tcPr>
          <w:p>
            <w:r>
              <w:rPr>
                <w:sz w:val="17"/>
              </w:rPr>
              <w:t>H7 — Preparation Has Bounded Influence</w:t>
            </w:r>
          </w:p>
        </w:tc>
        <w:tc>
          <w:tcPr>
            <w:tcW w:type="dxa" w:w="3312"/>
          </w:tcPr>
          <w:p>
            <w:r>
              <w:rPr>
                <w:sz w:val="17"/>
              </w:rPr>
              <w:t>SUPPORTED / BOUNDARY TEST</w:t>
            </w:r>
          </w:p>
        </w:tc>
        <w:tc>
          <w:tcPr>
            <w:tcW w:type="dxa" w:w="3312"/>
          </w:tcPr>
          <w:p>
            <w:r>
              <w:rPr>
                <w:sz w:val="17"/>
              </w:rPr>
              <w:t>External evidence supports realistic preparation but does not establish that preparation can overcome pay, staffing, schedule, technology or job-design constraints.</w:t>
            </w:r>
          </w:p>
        </w:tc>
      </w:tr>
    </w:tbl>
    <w:p>
      <w:pPr>
        <w:pStyle w:val="Heading2"/>
      </w:pPr>
      <w:r>
        <w:t>Primary Data Trigger Rules</w:t>
      </w:r>
    </w:p>
    <w:p>
      <w:pPr>
        <w:pStyle w:val="ListBullet"/>
      </w:pPr>
      <w:r>
        <w:t>Do not collect interviews or surveys simply because they were listed in an earlier protocol version.</w:t>
      </w:r>
    </w:p>
    <w:p>
      <w:pPr>
        <w:pStyle w:val="ListBullet"/>
      </w:pPr>
      <w:r>
        <w:t>Before new data collection, document the exact unresolved question and why external evidence, public datasets, existing employer records, or validated measures cannot answer it sufficiently.</w:t>
      </w:r>
    </w:p>
    <w:p>
      <w:pPr>
        <w:pStyle w:val="ListBullet"/>
      </w:pPr>
      <w:r>
        <w:t>Prefer secondary analysis and de-identified employer operational data over self-report when they answer the question more directly.</w:t>
      </w:r>
    </w:p>
    <w:p>
      <w:pPr>
        <w:pStyle w:val="ListBullet"/>
      </w:pPr>
      <w:r>
        <w:t>Use interviews primarily for mechanisms, lived context, language, unexpected explanations, implementation detail, and construct discovery—not to re-prove mature general relationships.</w:t>
      </w:r>
    </w:p>
    <w:p>
      <w:pPr>
        <w:pStyle w:val="ListBullet"/>
      </w:pPr>
      <w:r>
        <w:t>Use surveys when a defined construct, prevalence estimate, comparison, moderator, or prediction cannot be answered adequately from existing evidence.</w:t>
      </w:r>
    </w:p>
    <w:p>
      <w:pPr>
        <w:pStyle w:val="ListBullet"/>
      </w:pPr>
      <w:r>
        <w:t>Use longitudinal data when temporal ordering or prediction matters. Use intervention/comparison designs when the claim concerns ResolveCX effectiveness.</w:t>
      </w:r>
    </w:p>
    <w:p>
      <w:pPr>
        <w:pStyle w:val="ListBullet"/>
      </w:pPr>
      <w:r>
        <w:t>Stop or narrow data collection when new evidence makes a question immaterial, redundant, or already sufficiently answered.</w:t>
      </w:r>
    </w:p>
    <w:p>
      <w:pPr>
        <w:pStyle w:val="ListBullet"/>
      </w:pPr>
      <w:r>
        <w:t>Preserve negative, null, adverse, and contradictory evidence in the same registry as supportive evidence.</w:t>
      </w:r>
    </w:p>
    <w:p>
      <w:pPr>
        <w:pStyle w:val="Heading2"/>
      </w:pPr>
      <w:r>
        <w:t>ResolveCX Proof Boundary</w:t>
      </w:r>
    </w:p>
    <w:p>
      <w:r>
        <w:t>External research may establish that a problem, construct, mechanism, or relationship exists. It cannot by itself establish that a ResolveCX intervention causes better outcomes. Claims that ResolveCX preparation improves proficiency, adaptation, retention, customer outcomes, career progression, or economic value require direct evaluation of the ResolveCX intervention using a design strong enough for the claim.</w:t>
      </w:r>
    </w:p>
    <w:p>
      <w:pPr>
        <w:pStyle w:val="Heading2"/>
      </w:pPr>
      <w:r>
        <w:t>Decision Record Required Before Any New Survey or Interview</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Field</w:t>
            </w:r>
          </w:p>
        </w:tc>
        <w:tc>
          <w:tcPr>
            <w:tcW w:type="dxa" w:w="4968"/>
            <w:shd w:fill="0B3A53"/>
          </w:tcPr>
          <w:p>
            <w:r>
              <w:rPr>
                <w:b/>
                <w:color w:val="FFFFFF"/>
                <w:sz w:val="18"/>
              </w:rPr>
              <w:t>Required entry</w:t>
            </w:r>
          </w:p>
        </w:tc>
      </w:tr>
      <w:tr>
        <w:tc>
          <w:tcPr>
            <w:tcW w:type="dxa" w:w="4968"/>
          </w:tcPr>
          <w:p>
            <w:r>
              <w:rPr>
                <w:sz w:val="17"/>
              </w:rPr>
              <w:t>Unresolved question</w:t>
            </w:r>
          </w:p>
        </w:tc>
        <w:tc>
          <w:tcPr>
            <w:tcW w:type="dxa" w:w="4968"/>
          </w:tcPr>
          <w:p>
            <w:r>
              <w:rPr>
                <w:sz w:val="17"/>
              </w:rPr>
              <w:t>Exactly what remains unknown?</w:t>
            </w:r>
          </w:p>
        </w:tc>
      </w:tr>
      <w:tr>
        <w:tc>
          <w:tcPr>
            <w:tcW w:type="dxa" w:w="4968"/>
          </w:tcPr>
          <w:p>
            <w:r>
              <w:rPr>
                <w:sz w:val="17"/>
              </w:rPr>
              <w:t>Existing evidence reviewed</w:t>
            </w:r>
          </w:p>
        </w:tc>
        <w:tc>
          <w:tcPr>
            <w:tcW w:type="dxa" w:w="4968"/>
          </w:tcPr>
          <w:p>
            <w:r>
              <w:rPr>
                <w:sz w:val="17"/>
              </w:rPr>
              <w:t>What high-quality evidence already addresses it?</w:t>
            </w:r>
          </w:p>
        </w:tc>
      </w:tr>
      <w:tr>
        <w:tc>
          <w:tcPr>
            <w:tcW w:type="dxa" w:w="4968"/>
          </w:tcPr>
          <w:p>
            <w:r>
              <w:rPr>
                <w:sz w:val="17"/>
              </w:rPr>
              <w:t>Why insufficient</w:t>
            </w:r>
          </w:p>
        </w:tc>
        <w:tc>
          <w:tcPr>
            <w:tcW w:type="dxa" w:w="4968"/>
          </w:tcPr>
          <w:p>
            <w:r>
              <w:rPr>
                <w:sz w:val="17"/>
              </w:rPr>
              <w:t>Population, context, construct, recency, outcome, method, or causal limitation.</w:t>
            </w:r>
          </w:p>
        </w:tc>
      </w:tr>
      <w:tr>
        <w:tc>
          <w:tcPr>
            <w:tcW w:type="dxa" w:w="4968"/>
          </w:tcPr>
          <w:p>
            <w:r>
              <w:rPr>
                <w:sz w:val="17"/>
              </w:rPr>
              <w:t>Best next evidence source</w:t>
            </w:r>
          </w:p>
        </w:tc>
        <w:tc>
          <w:tcPr>
            <w:tcW w:type="dxa" w:w="4968"/>
          </w:tcPr>
          <w:p>
            <w:r>
              <w:rPr>
                <w:sz w:val="17"/>
              </w:rPr>
              <w:t>External dataset, employer data, interview, survey, longitudinal panel, intervention, or no further collection.</w:t>
            </w:r>
          </w:p>
        </w:tc>
      </w:tr>
      <w:tr>
        <w:tc>
          <w:tcPr>
            <w:tcW w:type="dxa" w:w="4968"/>
          </w:tcPr>
          <w:p>
            <w:r>
              <w:rPr>
                <w:sz w:val="17"/>
              </w:rPr>
              <w:t>Decision value</w:t>
            </w:r>
          </w:p>
        </w:tc>
        <w:tc>
          <w:tcPr>
            <w:tcW w:type="dxa" w:w="4968"/>
          </w:tcPr>
          <w:p>
            <w:r>
              <w:rPr>
                <w:sz w:val="17"/>
              </w:rPr>
              <w:t>What decision will this evidence change for ResolveCX?</w:t>
            </w:r>
          </w:p>
        </w:tc>
      </w:tr>
      <w:tr>
        <w:tc>
          <w:tcPr>
            <w:tcW w:type="dxa" w:w="4968"/>
          </w:tcPr>
          <w:p>
            <w:r>
              <w:rPr>
                <w:sz w:val="17"/>
              </w:rPr>
              <w:t>Stop rule</w:t>
            </w:r>
          </w:p>
        </w:tc>
        <w:tc>
          <w:tcPr>
            <w:tcW w:type="dxa" w:w="4968"/>
          </w:tcPr>
          <w:p>
            <w:r>
              <w:rPr>
                <w:sz w:val="17"/>
              </w:rPr>
              <w:t>What result would make further collection unnecessary?</w:t>
            </w:r>
          </w:p>
        </w:tc>
      </w:tr>
    </w:tbl>
    <w:p>
      <w:pPr>
        <w:pStyle w:val="Heading2"/>
      </w:pPr>
      <w:r>
        <w:t>Publication Language</w:t>
      </w:r>
    </w:p>
    <w:p>
      <w:r>
        <w:t>This study may be introduced publicly as Ongoing Research. Public materials must distinguish: (1) what external evidence already establishes; (2) what ResolveCX currently hypothesizes; (3) what remains unresolved; (4) what original data, if any, are being collected; and (5) the current finding status. Preliminary observations must not be presented as representative or validated findings.</w:t>
      </w:r>
    </w:p>
    <w:p>
      <w:pPr>
        <w:pStyle w:val="Heading2"/>
      </w:pPr>
      <w:r>
        <w:t>Research Quality and Release Standard</w:t>
      </w:r>
    </w:p>
    <w:p>
      <w:r>
        <w:t>Evidence sufficiency—not a predetermined number of interviews, survey responses, or citations—governs research decisions. Source-count targets remain evidence-development milestones, not publication prerequisites. Quality, independence, design strength, construct relevance, population fit, contradictory evidence, and decision usefulness take precedence over volume.</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Research Protocol v1.2  •  Discovery / Pre-Registration Draft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color w:val="55666F"/>
        <w:sz w:val="17"/>
      </w:rPr>
      <w:t>ResolveCX Research Series  |  Study #002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B3A5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