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color w:val="00678E"/>
          <w:sz w:val="24"/>
        </w:rPr>
        <w:t>ResolveCX Research Series</w:t>
      </w:r>
    </w:p>
    <w:p>
      <w:pPr>
        <w:pStyle w:val="Title"/>
        <w:jc w:val="center"/>
      </w:pPr>
      <w:r>
        <w:t>Study #003: The KPI &amp; Business Literacy Study</w:t>
      </w:r>
    </w:p>
    <w:p>
      <w:pPr>
        <w:jc w:val="center"/>
      </w:pPr>
      <w:r>
        <w:rPr>
          <w:i/>
          <w:sz w:val="26"/>
        </w:rPr>
        <w:t>Do frontline professionals understand the operating system behind the metrics they are held accountable for?</w:t>
      </w:r>
    </w:p>
    <w:p>
      <w:pPr>
        <w:pStyle w:val="Heading1"/>
      </w:pPr>
      <w:r>
        <w:t>1. Research Integrity Statement</w:t>
      </w:r>
    </w:p>
    <w:p>
      <w:r>
        <w:t>Study #003 will test whether operational and business literacy is meaningfully related to frontline adjustment, decision quality, engagement, performance, and retention. It will not assume that teaching metrics improves outcomes, that employees are responsible for system-level performance, or that a low KPI result reflects low effort or low competence. Findings that weaken or contradict the proposed value of operational literacy will be reported transparently.</w:t>
      </w:r>
    </w:p>
    <w:p>
      <w:pPr>
        <w:pStyle w:val="Heading1"/>
      </w:pPr>
      <w:r>
        <w:t>2. Central Research Question</w:t>
      </w:r>
    </w:p>
    <w:p>
      <w:r>
        <w:rPr>
          <w:b/>
        </w:rPr>
        <w:t>Among frontline contact-center employees, does understanding how individual behaviors, queue dynamics, workforce planning, customer outcomes, cost, and organizational objectives connect predict stronger judgment, adjustment, engagement, performance, or retention after relevant job and workplace factors are considered?</w:t>
      </w:r>
    </w:p>
    <w:p>
      <w:r>
        <w:t>Secondary question: Which concepts should a frontline professional reasonably be expected to understand, which belong primarily to supervisors/WFM/operations, and whether greater transparency improves understanding without creating inappropriate individual accountability for system-level outcomes.</w:t>
      </w:r>
    </w:p>
    <w:p>
      <w:pPr>
        <w:pStyle w:val="Heading1"/>
      </w:pPr>
      <w:r>
        <w:t>3. Why This Study Is Distinct</w:t>
      </w:r>
    </w:p>
    <w:tbl>
      <w:tblPr>
        <w:tblStyle w:val="TableGrid"/>
        <w:tblW w:type="auto" w:w="0"/>
        <w:jc w:val="center"/>
        <w:tblLook w:firstColumn="1" w:firstRow="1" w:lastColumn="0" w:lastRow="0" w:noHBand="0" w:noVBand="1" w:val="04A0"/>
      </w:tblPr>
      <w:tblGrid>
        <w:gridCol w:w="3312"/>
        <w:gridCol w:w="3312"/>
        <w:gridCol w:w="3312"/>
      </w:tblGrid>
      <w:tr>
        <w:tc>
          <w:tcPr>
            <w:tcW w:type="dxa" w:w="3312"/>
            <w:shd w:fill="0B3A53"/>
          </w:tcPr>
          <w:p>
            <w:r>
              <w:rPr>
                <w:b/>
                <w:color w:val="FFFFFF"/>
              </w:rPr>
              <w:t>Study</w:t>
            </w:r>
          </w:p>
        </w:tc>
        <w:tc>
          <w:tcPr>
            <w:tcW w:type="dxa" w:w="3312"/>
            <w:shd w:fill="0B3A53"/>
          </w:tcPr>
          <w:p>
            <w:r>
              <w:rPr>
                <w:b/>
                <w:color w:val="FFFFFF"/>
              </w:rPr>
              <w:t>Primary Question</w:t>
            </w:r>
          </w:p>
        </w:tc>
        <w:tc>
          <w:tcPr>
            <w:tcW w:type="dxa" w:w="3312"/>
            <w:shd w:fill="0B3A53"/>
          </w:tcPr>
          <w:p>
            <w:r>
              <w:rPr>
                <w:b/>
                <w:color w:val="FFFFFF"/>
              </w:rPr>
              <w:t>Role in Program</w:t>
            </w:r>
          </w:p>
        </w:tc>
      </w:tr>
      <w:tr>
        <w:tc>
          <w:tcPr>
            <w:tcW w:type="dxa" w:w="3312"/>
          </w:tcPr>
          <w:p>
            <w:r>
              <w:t>#001 — New-Hire Survival</w:t>
            </w:r>
          </w:p>
        </w:tc>
        <w:tc>
          <w:tcPr>
            <w:tcW w:type="dxa" w:w="3312"/>
          </w:tcPr>
          <w:p>
            <w:r>
              <w:t>Who succeeds, struggles, disengages, or exits?</w:t>
            </w:r>
          </w:p>
        </w:tc>
        <w:tc>
          <w:tcPr>
            <w:tcW w:type="dxa" w:w="3312"/>
          </w:tcPr>
          <w:p>
            <w:r>
              <w:t>Outcome</w:t>
            </w:r>
          </w:p>
        </w:tc>
      </w:tr>
      <w:tr>
        <w:tc>
          <w:tcPr>
            <w:tcW w:type="dxa" w:w="3312"/>
          </w:tcPr>
          <w:p>
            <w:r>
              <w:t>#002 — Job Reality Gap</w:t>
            </w:r>
          </w:p>
        </w:tc>
        <w:tc>
          <w:tcPr>
            <w:tcW w:type="dxa" w:w="3312"/>
          </w:tcPr>
          <w:p>
            <w:r>
              <w:t>Where do expectations and experienced reality diverge?</w:t>
            </w:r>
          </w:p>
        </w:tc>
        <w:tc>
          <w:tcPr>
            <w:tcW w:type="dxa" w:w="3312"/>
          </w:tcPr>
          <w:p>
            <w:r>
              <w:t>Transition mechanism</w:t>
            </w:r>
          </w:p>
        </w:tc>
      </w:tr>
      <w:tr>
        <w:tc>
          <w:tcPr>
            <w:tcW w:type="dxa" w:w="3312"/>
          </w:tcPr>
          <w:p>
            <w:r>
              <w:t>#003 — KPI &amp; Business Literacy</w:t>
            </w:r>
          </w:p>
        </w:tc>
        <w:tc>
          <w:tcPr>
            <w:tcW w:type="dxa" w:w="3312"/>
          </w:tcPr>
          <w:p>
            <w:r>
              <w:t>Do people understand why the operating measures exist and how the system connects?</w:t>
            </w:r>
          </w:p>
        </w:tc>
        <w:tc>
          <w:tcPr>
            <w:tcW w:type="dxa" w:w="3312"/>
          </w:tcPr>
          <w:p>
            <w:r>
              <w:t>Operational understanding</w:t>
            </w:r>
          </w:p>
        </w:tc>
      </w:tr>
    </w:tbl>
    <w:p>
      <w:pPr>
        <w:pStyle w:val="Heading1"/>
      </w:pPr>
      <w:r>
        <w:t>4. Working Definition</w:t>
      </w:r>
    </w:p>
    <w:p>
      <w:r>
        <w:t>For this study, operational and business literacy means the ability to interpret—not merely recite—the relationships among demand, capacity, staffing, shrinkage, schedules, adherence, availability, occupancy, service level, abandonment, quality, resolution, customer experience, cost, revenue/value, and employee experience within the boundaries of one's role.</w:t>
      </w:r>
    </w:p>
    <w:p>
      <w:r>
        <w:rPr>
          <w:b/>
        </w:rPr>
        <w:t xml:space="preserve">Critical boundary: </w:t>
      </w:r>
      <w:r>
        <w:t>literacy is not compliance. An employee may understand a metric and reasonably disagree with a target, recognize a system constraint, or be unable to influence the result.</w:t>
      </w:r>
    </w:p>
    <w:p>
      <w:pPr>
        <w:pStyle w:val="Heading1"/>
      </w:pPr>
      <w:r>
        <w:t>5. Proposed Operating-System Map</w:t>
      </w:r>
    </w:p>
    <w:tbl>
      <w:tblPr>
        <w:tblStyle w:val="TableGrid"/>
        <w:tblW w:type="auto" w:w="0"/>
        <w:jc w:val="center"/>
        <w:tblLook w:firstColumn="1" w:firstRow="1" w:lastColumn="0" w:lastRow="0" w:noHBand="0" w:noVBand="1" w:val="04A0"/>
      </w:tblPr>
      <w:tblGrid>
        <w:gridCol w:w="3312"/>
        <w:gridCol w:w="3312"/>
        <w:gridCol w:w="3312"/>
      </w:tblGrid>
      <w:tr>
        <w:tc>
          <w:tcPr>
            <w:tcW w:type="dxa" w:w="3312"/>
            <w:shd w:fill="0B3A53"/>
          </w:tcPr>
          <w:p>
            <w:r>
              <w:rPr>
                <w:b/>
                <w:color w:val="FFFFFF"/>
              </w:rPr>
              <w:t>Layer</w:t>
            </w:r>
          </w:p>
        </w:tc>
        <w:tc>
          <w:tcPr>
            <w:tcW w:type="dxa" w:w="3312"/>
            <w:shd w:fill="0B3A53"/>
          </w:tcPr>
          <w:p>
            <w:r>
              <w:rPr>
                <w:b/>
                <w:color w:val="FFFFFF"/>
              </w:rPr>
              <w:t>Concepts</w:t>
            </w:r>
          </w:p>
        </w:tc>
        <w:tc>
          <w:tcPr>
            <w:tcW w:type="dxa" w:w="3312"/>
            <w:shd w:fill="0B3A53"/>
          </w:tcPr>
          <w:p>
            <w:r>
              <w:rPr>
                <w:b/>
                <w:color w:val="FFFFFF"/>
              </w:rPr>
              <w:t>Core Question</w:t>
            </w:r>
          </w:p>
        </w:tc>
      </w:tr>
      <w:tr>
        <w:tc>
          <w:tcPr>
            <w:tcW w:type="dxa" w:w="3312"/>
          </w:tcPr>
          <w:p>
            <w:r>
              <w:t>Demand</w:t>
            </w:r>
          </w:p>
        </w:tc>
        <w:tc>
          <w:tcPr>
            <w:tcW w:type="dxa" w:w="3312"/>
          </w:tcPr>
          <w:p>
            <w:r>
              <w:t>Contact volume, arrival patterns, channel mix, complexity</w:t>
            </w:r>
          </w:p>
        </w:tc>
        <w:tc>
          <w:tcPr>
            <w:tcW w:type="dxa" w:w="3312"/>
          </w:tcPr>
          <w:p>
            <w:r>
              <w:t>What work is arriving and when?</w:t>
            </w:r>
          </w:p>
        </w:tc>
      </w:tr>
      <w:tr>
        <w:tc>
          <w:tcPr>
            <w:tcW w:type="dxa" w:w="3312"/>
          </w:tcPr>
          <w:p>
            <w:r>
              <w:t>Capacity</w:t>
            </w:r>
          </w:p>
        </w:tc>
        <w:tc>
          <w:tcPr>
            <w:tcW w:type="dxa" w:w="3312"/>
          </w:tcPr>
          <w:p>
            <w:r>
              <w:t>Headcount, skills, schedules, shrinkage</w:t>
            </w:r>
          </w:p>
        </w:tc>
        <w:tc>
          <w:tcPr>
            <w:tcW w:type="dxa" w:w="3312"/>
          </w:tcPr>
          <w:p>
            <w:r>
              <w:t>What usable capacity exists?</w:t>
            </w:r>
          </w:p>
        </w:tc>
      </w:tr>
      <w:tr>
        <w:tc>
          <w:tcPr>
            <w:tcW w:type="dxa" w:w="3312"/>
          </w:tcPr>
          <w:p>
            <w:r>
              <w:t>Execution</w:t>
            </w:r>
          </w:p>
        </w:tc>
        <w:tc>
          <w:tcPr>
            <w:tcW w:type="dxa" w:w="3312"/>
          </w:tcPr>
          <w:p>
            <w:r>
              <w:t>Adherence, availability, occupancy, handle work</w:t>
            </w:r>
          </w:p>
        </w:tc>
        <w:tc>
          <w:tcPr>
            <w:tcW w:type="dxa" w:w="3312"/>
          </w:tcPr>
          <w:p>
            <w:r>
              <w:t>How does planned capacity become actual coverage?</w:t>
            </w:r>
          </w:p>
        </w:tc>
      </w:tr>
      <w:tr>
        <w:tc>
          <w:tcPr>
            <w:tcW w:type="dxa" w:w="3312"/>
          </w:tcPr>
          <w:p>
            <w:r>
              <w:t>Customer</w:t>
            </w:r>
          </w:p>
        </w:tc>
        <w:tc>
          <w:tcPr>
            <w:tcW w:type="dxa" w:w="3312"/>
          </w:tcPr>
          <w:p>
            <w:r>
              <w:t>Wait, service level, abandonment, quality, resolution</w:t>
            </w:r>
          </w:p>
        </w:tc>
        <w:tc>
          <w:tcPr>
            <w:tcW w:type="dxa" w:w="3312"/>
          </w:tcPr>
          <w:p>
            <w:r>
              <w:t>What experience does the operating system produce?</w:t>
            </w:r>
          </w:p>
        </w:tc>
      </w:tr>
      <w:tr>
        <w:tc>
          <w:tcPr>
            <w:tcW w:type="dxa" w:w="3312"/>
          </w:tcPr>
          <w:p>
            <w:r>
              <w:t>Business</w:t>
            </w:r>
          </w:p>
        </w:tc>
        <w:tc>
          <w:tcPr>
            <w:tcW w:type="dxa" w:w="3312"/>
          </w:tcPr>
          <w:p>
            <w:r>
              <w:t>Cost, productivity, revenue/value, risk</w:t>
            </w:r>
          </w:p>
        </w:tc>
        <w:tc>
          <w:tcPr>
            <w:tcW w:type="dxa" w:w="3312"/>
          </w:tcPr>
          <w:p>
            <w:r>
              <w:t>What organizational consequences follow?</w:t>
            </w:r>
          </w:p>
        </w:tc>
      </w:tr>
      <w:tr>
        <w:tc>
          <w:tcPr>
            <w:tcW w:type="dxa" w:w="3312"/>
          </w:tcPr>
          <w:p>
            <w:r>
              <w:t>Employee</w:t>
            </w:r>
          </w:p>
        </w:tc>
        <w:tc>
          <w:tcPr>
            <w:tcW w:type="dxa" w:w="3312"/>
          </w:tcPr>
          <w:p>
            <w:r>
              <w:t>Workload, recovery, clarity, fairness, sustainability</w:t>
            </w:r>
          </w:p>
        </w:tc>
        <w:tc>
          <w:tcPr>
            <w:tcW w:type="dxa" w:w="3312"/>
          </w:tcPr>
          <w:p>
            <w:r>
              <w:t>What does the system require from people?</w:t>
            </w:r>
          </w:p>
        </w:tc>
      </w:tr>
    </w:tbl>
    <w:p>
      <w:pPr>
        <w:pStyle w:val="Heading1"/>
      </w:pPr>
      <w:r>
        <w:t>6. Hypotheses</w:t>
      </w:r>
    </w:p>
    <w:p>
      <w:r>
        <w:rPr>
          <w:b/>
        </w:rPr>
        <w:t>H1 — Literacy and Role Clarity</w:t>
      </w:r>
      <w:r>
        <w:t>: Higher operational literacy will be associated with greater understanding of role expectations and the rationale behind performance measures.</w:t>
      </w:r>
    </w:p>
    <w:p>
      <w:r>
        <w:rPr>
          <w:b/>
        </w:rPr>
        <w:t>H2 — Literacy and Decision Quality</w:t>
      </w:r>
      <w:r>
        <w:t>: Higher literacy will predict better responses to realistic operational scenarios, beyond terminology recall.</w:t>
      </w:r>
    </w:p>
    <w:p>
      <w:r>
        <w:rPr>
          <w:b/>
        </w:rPr>
        <w:t>H3 — Meaning and Engagement</w:t>
      </w:r>
      <w:r>
        <w:t>: Understanding why measures matter will be associated with stronger perceived meaning and lower metric-related ambiguity; causal claims require intervention evidence.</w:t>
      </w:r>
    </w:p>
    <w:p>
      <w:r>
        <w:rPr>
          <w:b/>
        </w:rPr>
        <w:t>H4 — Metric Interpretation</w:t>
      </w:r>
      <w:r>
        <w:t>: Employees with higher literacy will more accurately distinguish individual-level measures from queue-, team-, and system-level outcomes.</w:t>
      </w:r>
    </w:p>
    <w:p>
      <w:r>
        <w:rPr>
          <w:b/>
        </w:rPr>
        <w:t>H5 — Supervisor Translation</w:t>
      </w:r>
      <w:r>
        <w:t>: Supervisor explanation and coaching quality will be associated with stronger literacy and may moderate relationships between metric pressure and employee outcomes.</w:t>
      </w:r>
    </w:p>
    <w:p>
      <w:r>
        <w:rPr>
          <w:b/>
        </w:rPr>
        <w:t>H6 — Experience Is Not Equivalent to Literacy</w:t>
      </w:r>
      <w:r>
        <w:t>: Tenure and prior contact-center experience will not perfectly substitute for demonstrated operational understanding.</w:t>
      </w:r>
    </w:p>
    <w:p>
      <w:r>
        <w:rPr>
          <w:b/>
        </w:rPr>
        <w:t>H7 — Literacy Has Bounded Value</w:t>
      </w:r>
      <w:r>
        <w:t>: Operational literacy may improve understanding without overcoming poor staffing, unrealistic targets, inadequate tools, low autonomy, weak leadership, or other structural constraints.</w:t>
      </w:r>
    </w:p>
    <w:p>
      <w:pPr>
        <w:pStyle w:val="Heading1"/>
      </w:pPr>
      <w:r>
        <w:t>7. Construct Domains</w:t>
      </w:r>
    </w:p>
    <w:tbl>
      <w:tblPr>
        <w:tblStyle w:val="TableGrid"/>
        <w:tblW w:type="auto" w:w="0"/>
        <w:jc w:val="center"/>
        <w:tblLook w:firstColumn="1" w:firstRow="1" w:lastColumn="0" w:lastRow="0" w:noHBand="0" w:noVBand="1" w:val="04A0"/>
      </w:tblPr>
      <w:tblGrid>
        <w:gridCol w:w="3312"/>
        <w:gridCol w:w="3312"/>
        <w:gridCol w:w="3312"/>
      </w:tblGrid>
      <w:tr>
        <w:tc>
          <w:tcPr>
            <w:tcW w:type="dxa" w:w="3312"/>
            <w:shd w:fill="0B3A53"/>
          </w:tcPr>
          <w:p>
            <w:r>
              <w:rPr>
                <w:b/>
                <w:color w:val="FFFFFF"/>
              </w:rPr>
              <w:t>Domain</w:t>
            </w:r>
          </w:p>
        </w:tc>
        <w:tc>
          <w:tcPr>
            <w:tcW w:type="dxa" w:w="3312"/>
            <w:shd w:fill="0B3A53"/>
          </w:tcPr>
          <w:p>
            <w:r>
              <w:rPr>
                <w:b/>
                <w:color w:val="FFFFFF"/>
              </w:rPr>
              <w:t>What Must Be Tested</w:t>
            </w:r>
          </w:p>
        </w:tc>
        <w:tc>
          <w:tcPr>
            <w:tcW w:type="dxa" w:w="3312"/>
            <w:shd w:fill="0B3A53"/>
          </w:tcPr>
          <w:p>
            <w:r>
              <w:rPr>
                <w:b/>
                <w:color w:val="FFFFFF"/>
              </w:rPr>
              <w:t>Avoid</w:t>
            </w:r>
          </w:p>
        </w:tc>
      </w:tr>
      <w:tr>
        <w:tc>
          <w:tcPr>
            <w:tcW w:type="dxa" w:w="3312"/>
          </w:tcPr>
          <w:p>
            <w:r>
              <w:t>Demand &amp; forecasting</w:t>
            </w:r>
          </w:p>
        </w:tc>
        <w:tc>
          <w:tcPr>
            <w:tcW w:type="dxa" w:w="3312"/>
          </w:tcPr>
          <w:p>
            <w:r>
              <w:t>Recognize why volume and arrival timing affect staffing needs</w:t>
            </w:r>
          </w:p>
        </w:tc>
        <w:tc>
          <w:tcPr>
            <w:tcW w:type="dxa" w:w="3312"/>
          </w:tcPr>
          <w:p>
            <w:r>
              <w:t>Requiring forecasting-specialist mathematics</w:t>
            </w:r>
          </w:p>
        </w:tc>
      </w:tr>
      <w:tr>
        <w:tc>
          <w:tcPr>
            <w:tcW w:type="dxa" w:w="3312"/>
          </w:tcPr>
          <w:p>
            <w:r>
              <w:t>Capacity &amp; staffing</w:t>
            </w:r>
          </w:p>
        </w:tc>
        <w:tc>
          <w:tcPr>
            <w:tcW w:type="dxa" w:w="3312"/>
          </w:tcPr>
          <w:p>
            <w:r>
              <w:t>Understand headcount vs usable capacity and role of shrinkage</w:t>
            </w:r>
          </w:p>
        </w:tc>
        <w:tc>
          <w:tcPr>
            <w:tcW w:type="dxa" w:w="3312"/>
          </w:tcPr>
          <w:p>
            <w:r>
              <w:t>Blaming agents for staffing decisions</w:t>
            </w:r>
          </w:p>
        </w:tc>
      </w:tr>
      <w:tr>
        <w:tc>
          <w:tcPr>
            <w:tcW w:type="dxa" w:w="3312"/>
          </w:tcPr>
          <w:p>
            <w:r>
              <w:t>Schedule adherence</w:t>
            </w:r>
          </w:p>
        </w:tc>
        <w:tc>
          <w:tcPr>
            <w:tcW w:type="dxa" w:w="3312"/>
          </w:tcPr>
          <w:p>
            <w:r>
              <w:t>Interpret how planned vs actual activity affects coverage</w:t>
            </w:r>
          </w:p>
        </w:tc>
        <w:tc>
          <w:tcPr>
            <w:tcW w:type="dxa" w:w="3312"/>
          </w:tcPr>
          <w:p>
            <w:r>
              <w:t>Equating every deviation with misconduct</w:t>
            </w:r>
          </w:p>
        </w:tc>
      </w:tr>
      <w:tr>
        <w:tc>
          <w:tcPr>
            <w:tcW w:type="dxa" w:w="3312"/>
          </w:tcPr>
          <w:p>
            <w:r>
              <w:t>Availability &amp; occupancy</w:t>
            </w:r>
          </w:p>
        </w:tc>
        <w:tc>
          <w:tcPr>
            <w:tcW w:type="dxa" w:w="3312"/>
          </w:tcPr>
          <w:p>
            <w:r>
              <w:t>Distinguish availability, occupancy, utilization, and workload</w:t>
            </w:r>
          </w:p>
        </w:tc>
        <w:tc>
          <w:tcPr>
            <w:tcW w:type="dxa" w:w="3312"/>
          </w:tcPr>
          <w:p>
            <w:r>
              <w:t>Treating maximum occupancy as inherently desirable</w:t>
            </w:r>
          </w:p>
        </w:tc>
      </w:tr>
      <w:tr>
        <w:tc>
          <w:tcPr>
            <w:tcW w:type="dxa" w:w="3312"/>
          </w:tcPr>
          <w:p>
            <w:r>
              <w:t>Service level &amp; abandonment</w:t>
            </w:r>
          </w:p>
        </w:tc>
        <w:tc>
          <w:tcPr>
            <w:tcW w:type="dxa" w:w="3312"/>
          </w:tcPr>
          <w:p>
            <w:r>
              <w:t>Connect queue coverage to wait and abandonment</w:t>
            </w:r>
          </w:p>
        </w:tc>
        <w:tc>
          <w:tcPr>
            <w:tcW w:type="dxa" w:w="3312"/>
          </w:tcPr>
          <w:p>
            <w:r>
              <w:t>Presenting one universal target as correct</w:t>
            </w:r>
          </w:p>
        </w:tc>
      </w:tr>
      <w:tr>
        <w:tc>
          <w:tcPr>
            <w:tcW w:type="dxa" w:w="3312"/>
          </w:tcPr>
          <w:p>
            <w:r>
              <w:t>AHT / handling work</w:t>
            </w:r>
          </w:p>
        </w:tc>
        <w:tc>
          <w:tcPr>
            <w:tcW w:type="dxa" w:w="3312"/>
          </w:tcPr>
          <w:p>
            <w:r>
              <w:t>Recognize tradeoffs among speed, complexity, quality and resolution</w:t>
            </w:r>
          </w:p>
        </w:tc>
        <w:tc>
          <w:tcPr>
            <w:tcW w:type="dxa" w:w="3312"/>
          </w:tcPr>
          <w:p>
            <w:r>
              <w:t>Teaching 'shorter is always better'</w:t>
            </w:r>
          </w:p>
        </w:tc>
      </w:tr>
      <w:tr>
        <w:tc>
          <w:tcPr>
            <w:tcW w:type="dxa" w:w="3312"/>
          </w:tcPr>
          <w:p>
            <w:r>
              <w:t>Quality &amp; resolution</w:t>
            </w:r>
          </w:p>
        </w:tc>
        <w:tc>
          <w:tcPr>
            <w:tcW w:type="dxa" w:w="3312"/>
          </w:tcPr>
          <w:p>
            <w:r>
              <w:t>Interpret quality and resolution alongside efficiency</w:t>
            </w:r>
          </w:p>
        </w:tc>
        <w:tc>
          <w:tcPr>
            <w:tcW w:type="dxa" w:w="3312"/>
          </w:tcPr>
          <w:p>
            <w:r>
              <w:t>Treating one score as the whole customer experience</w:t>
            </w:r>
          </w:p>
        </w:tc>
      </w:tr>
      <w:tr>
        <w:tc>
          <w:tcPr>
            <w:tcW w:type="dxa" w:w="3312"/>
          </w:tcPr>
          <w:p>
            <w:r>
              <w:t>Customer &amp; business outcomes</w:t>
            </w:r>
          </w:p>
        </w:tc>
        <w:tc>
          <w:tcPr>
            <w:tcW w:type="dxa" w:w="3312"/>
          </w:tcPr>
          <w:p>
            <w:r>
              <w:t>Connect operations to CX, cost, value and risk</w:t>
            </w:r>
          </w:p>
        </w:tc>
        <w:tc>
          <w:tcPr>
            <w:tcW w:type="dxa" w:w="3312"/>
          </w:tcPr>
          <w:p>
            <w:r>
              <w:t>Claiming an individual controls system outcomes</w:t>
            </w:r>
          </w:p>
        </w:tc>
      </w:tr>
      <w:tr>
        <w:tc>
          <w:tcPr>
            <w:tcW w:type="dxa" w:w="3312"/>
          </w:tcPr>
          <w:p>
            <w:r>
              <w:t>Employee experience</w:t>
            </w:r>
          </w:p>
        </w:tc>
        <w:tc>
          <w:tcPr>
            <w:tcW w:type="dxa" w:w="3312"/>
          </w:tcPr>
          <w:p>
            <w:r>
              <w:t>Recognize workload, recovery and sustainability as operating variables</w:t>
            </w:r>
          </w:p>
        </w:tc>
        <w:tc>
          <w:tcPr>
            <w:tcW w:type="dxa" w:w="3312"/>
          </w:tcPr>
          <w:p>
            <w:r>
              <w:t>Using literacy to rationalize unhealthy conditions</w:t>
            </w:r>
          </w:p>
        </w:tc>
      </w:tr>
    </w:tbl>
    <w:p>
      <w:pPr>
        <w:pStyle w:val="Heading1"/>
      </w:pPr>
      <w:r>
        <w:t>8. Measurement Strategy: Demonstrated Understanding, Not Vocabulary</w:t>
      </w:r>
    </w:p>
    <w:p>
      <w:r>
        <w:t>The primary instrument should use short scenarios and causal reasoning questions rather than a glossary quiz. Any ResolveCX score remains exploratory until cognitive testing, reliability assessment, dimensionality/construct evaluation, and predictive validation support stronger use.</w:t>
      </w:r>
    </w:p>
    <w:tbl>
      <w:tblPr>
        <w:tblStyle w:val="TableGrid"/>
        <w:tblW w:type="auto" w:w="0"/>
        <w:jc w:val="center"/>
        <w:tblLook w:firstColumn="1" w:firstRow="1" w:lastColumn="0" w:lastRow="0" w:noHBand="0" w:noVBand="1" w:val="04A0"/>
      </w:tblPr>
      <w:tblGrid>
        <w:gridCol w:w="4968"/>
        <w:gridCol w:w="4968"/>
      </w:tblGrid>
      <w:tr>
        <w:tc>
          <w:tcPr>
            <w:tcW w:type="dxa" w:w="4968"/>
            <w:shd w:fill="0B3A53"/>
          </w:tcPr>
          <w:p>
            <w:r>
              <w:rPr>
                <w:b/>
                <w:color w:val="FFFFFF"/>
              </w:rPr>
              <w:t>Scenario Family</w:t>
            </w:r>
          </w:p>
        </w:tc>
        <w:tc>
          <w:tcPr>
            <w:tcW w:type="dxa" w:w="4968"/>
            <w:shd w:fill="0B3A53"/>
          </w:tcPr>
          <w:p>
            <w:r>
              <w:rPr>
                <w:b/>
                <w:color w:val="FFFFFF"/>
              </w:rPr>
              <w:t>Example</w:t>
            </w:r>
          </w:p>
        </w:tc>
      </w:tr>
      <w:tr>
        <w:tc>
          <w:tcPr>
            <w:tcW w:type="dxa" w:w="4968"/>
          </w:tcPr>
          <w:p>
            <w:r>
              <w:t>Adherence scenario</w:t>
            </w:r>
          </w:p>
        </w:tc>
        <w:tc>
          <w:tcPr>
            <w:tcW w:type="dxa" w:w="4968"/>
          </w:tcPr>
          <w:p>
            <w:r>
              <w:t>A queue is staffed to forecast, but several scheduled agents are unexpectedly unavailable. Ask what can happen to coverage, waits, workload, and service—not who is 'at fault'.</w:t>
            </w:r>
          </w:p>
        </w:tc>
      </w:tr>
      <w:tr>
        <w:tc>
          <w:tcPr>
            <w:tcW w:type="dxa" w:w="4968"/>
          </w:tcPr>
          <w:p>
            <w:r>
              <w:t>Occupancy scenario</w:t>
            </w:r>
          </w:p>
        </w:tc>
        <w:tc>
          <w:tcPr>
            <w:tcW w:type="dxa" w:w="4968"/>
          </w:tcPr>
          <w:p>
            <w:r>
              <w:t>Two intervals have similar contact volume but different staffing. Ask how occupancy and recovery time could differ.</w:t>
            </w:r>
          </w:p>
        </w:tc>
      </w:tr>
      <w:tr>
        <w:tc>
          <w:tcPr>
            <w:tcW w:type="dxa" w:w="4968"/>
          </w:tcPr>
          <w:p>
            <w:r>
              <w:t>AHT scenario</w:t>
            </w:r>
          </w:p>
        </w:tc>
        <w:tc>
          <w:tcPr>
            <w:tcW w:type="dxa" w:w="4968"/>
          </w:tcPr>
          <w:p>
            <w:r>
              <w:t>A complex product issue raises handle time while quality and resolution improve. Ask why interpreting AHT alone could mislead.</w:t>
            </w:r>
          </w:p>
        </w:tc>
      </w:tr>
      <w:tr>
        <w:tc>
          <w:tcPr>
            <w:tcW w:type="dxa" w:w="4968"/>
          </w:tcPr>
          <w:p>
            <w:r>
              <w:t>Shrinkage scenario</w:t>
            </w:r>
          </w:p>
        </w:tc>
        <w:tc>
          <w:tcPr>
            <w:tcW w:type="dxa" w:w="4968"/>
          </w:tcPr>
          <w:p>
            <w:r>
              <w:t>Training, coaching and absence reduce usable capacity. Ask why paid headcount and available queue capacity are not identical.</w:t>
            </w:r>
          </w:p>
        </w:tc>
      </w:tr>
      <w:tr>
        <w:tc>
          <w:tcPr>
            <w:tcW w:type="dxa" w:w="4968"/>
          </w:tcPr>
          <w:p>
            <w:r>
              <w:t>Service-level scenario</w:t>
            </w:r>
          </w:p>
        </w:tc>
        <w:tc>
          <w:tcPr>
            <w:tcW w:type="dxa" w:w="4968"/>
          </w:tcPr>
          <w:p>
            <w:r>
              <w:t>Service level falls. Ask respondents to identify multiple plausible causes before attributing the result to agent behavior.</w:t>
            </w:r>
          </w:p>
        </w:tc>
      </w:tr>
      <w:tr>
        <w:tc>
          <w:tcPr>
            <w:tcW w:type="dxa" w:w="4968"/>
          </w:tcPr>
          <w:p>
            <w:r>
              <w:t>Tradeoff scenario</w:t>
            </w:r>
          </w:p>
        </w:tc>
        <w:tc>
          <w:tcPr>
            <w:tcW w:type="dxa" w:w="4968"/>
          </w:tcPr>
          <w:p>
            <w:r>
              <w:t>A proposed action improves one metric but could damage quality or employee sustainability. Ask which information is needed before acting.</w:t>
            </w:r>
          </w:p>
        </w:tc>
      </w:tr>
    </w:tbl>
    <w:p>
      <w:pPr>
        <w:pStyle w:val="Heading1"/>
      </w:pPr>
      <w:r>
        <w:t>9. Outcomes</w:t>
      </w:r>
    </w:p>
    <w:p>
      <w:pPr>
        <w:pStyle w:val="ListBullet"/>
      </w:pPr>
      <w:r>
        <w:t>Knowledge/interpretation: scenario-based operational reasoning score.</w:t>
      </w:r>
    </w:p>
    <w:p>
      <w:pPr>
        <w:pStyle w:val="ListBullet"/>
      </w:pPr>
      <w:r>
        <w:t>Role clarity and metric meaning: understanding what a measure indicates, why it matters, and what is/is not controllable.</w:t>
      </w:r>
    </w:p>
    <w:p>
      <w:pPr>
        <w:pStyle w:val="ListBullet"/>
      </w:pPr>
      <w:r>
        <w:t>Decision quality: selection and explanation of appropriate responses to operational tradeoffs.</w:t>
      </w:r>
    </w:p>
    <w:p>
      <w:pPr>
        <w:pStyle w:val="ListBullet"/>
      </w:pPr>
      <w:r>
        <w:t>Employee outcomes: engagement, perceived fairness/clarity, metric anxiety or ambiguity, exhaustion/withdrawal where defensibly measured.</w:t>
      </w:r>
    </w:p>
    <w:p>
      <w:pPr>
        <w:pStyle w:val="ListBullet"/>
      </w:pPr>
      <w:r>
        <w:t>Operational outcomes where employer data are available: quality, adherence, resolution, proficiency and other role-relevant measures.</w:t>
      </w:r>
    </w:p>
    <w:p>
      <w:pPr>
        <w:pStyle w:val="ListBullet"/>
      </w:pPr>
      <w:r>
        <w:t>Employment outcomes: retention milestones when Study #003 is linked longitudinally to Study #001.</w:t>
      </w:r>
    </w:p>
    <w:p>
      <w:pPr>
        <w:pStyle w:val="Heading1"/>
      </w:pPr>
      <w:r>
        <w:t>10. Confounders and Alternative Explanations</w:t>
      </w:r>
    </w:p>
    <w:p>
      <w:r>
        <w:t>Analyses should consider tenure, prior contact-center experience, education/training exposure, job complexity, channel, industry, employer, work arrangement, supervisor quality, WFM practices, compensation, schedule, staffing pressure, technology quality, target reasonableness, and organizational change. Strong performance may create literacy rather than literacy creating performance; longitudinal or intervention designs are needed to address directionality.</w:t>
      </w:r>
    </w:p>
    <w:p>
      <w:pPr>
        <w:pStyle w:val="Heading1"/>
      </w:pPr>
      <w:r>
        <w:t>11. Falsification Register</w:t>
      </w:r>
    </w:p>
    <w:tbl>
      <w:tblPr>
        <w:tblStyle w:val="TableGrid"/>
        <w:tblW w:type="auto" w:w="0"/>
        <w:jc w:val="center"/>
        <w:tblLook w:firstColumn="1" w:firstRow="1" w:lastColumn="0" w:lastRow="0" w:noHBand="0" w:noVBand="1" w:val="04A0"/>
      </w:tblPr>
      <w:tblGrid>
        <w:gridCol w:w="4968"/>
        <w:gridCol w:w="4968"/>
      </w:tblGrid>
      <w:tr>
        <w:tc>
          <w:tcPr>
            <w:tcW w:type="dxa" w:w="4968"/>
            <w:shd w:fill="0B3A53"/>
          </w:tcPr>
          <w:p>
            <w:r>
              <w:rPr>
                <w:b/>
                <w:color w:val="FFFFFF"/>
              </w:rPr>
              <w:t>ID</w:t>
            </w:r>
          </w:p>
        </w:tc>
        <w:tc>
          <w:tcPr>
            <w:tcW w:type="dxa" w:w="4968"/>
            <w:shd w:fill="0B3A53"/>
          </w:tcPr>
          <w:p>
            <w:r>
              <w:rPr>
                <w:b/>
                <w:color w:val="FFFFFF"/>
              </w:rPr>
              <w:t>Condition that weakens or narrows the thesis</w:t>
            </w:r>
          </w:p>
        </w:tc>
      </w:tr>
      <w:tr>
        <w:tc>
          <w:tcPr>
            <w:tcW w:type="dxa" w:w="4968"/>
          </w:tcPr>
          <w:p>
            <w:r>
              <w:t>F1</w:t>
            </w:r>
          </w:p>
        </w:tc>
        <w:tc>
          <w:tcPr>
            <w:tcW w:type="dxa" w:w="4968"/>
          </w:tcPr>
          <w:p>
            <w:r>
              <w:t>Operational literacy is not meaningfully related to adjustment, judgment, engagement, performance, or retention after controls.</w:t>
            </w:r>
          </w:p>
        </w:tc>
      </w:tr>
      <w:tr>
        <w:tc>
          <w:tcPr>
            <w:tcW w:type="dxa" w:w="4968"/>
          </w:tcPr>
          <w:p>
            <w:r>
              <w:t>F2</w:t>
            </w:r>
          </w:p>
        </w:tc>
        <w:tc>
          <w:tcPr>
            <w:tcW w:type="dxa" w:w="4968"/>
          </w:tcPr>
          <w:p>
            <w:r>
              <w:t>Tenure, supervisor quality, job design, or workplace conditions explain substantially more than literacy.</w:t>
            </w:r>
          </w:p>
        </w:tc>
      </w:tr>
      <w:tr>
        <w:tc>
          <w:tcPr>
            <w:tcW w:type="dxa" w:w="4968"/>
          </w:tcPr>
          <w:p>
            <w:r>
              <w:t>F3</w:t>
            </w:r>
          </w:p>
        </w:tc>
        <w:tc>
          <w:tcPr>
            <w:tcW w:type="dxa" w:w="4968"/>
          </w:tcPr>
          <w:p>
            <w:r>
              <w:t>Employees demonstrate high literacy but objective outcomes do not differ.</w:t>
            </w:r>
          </w:p>
        </w:tc>
      </w:tr>
      <w:tr>
        <w:tc>
          <w:tcPr>
            <w:tcW w:type="dxa" w:w="4968"/>
          </w:tcPr>
          <w:p>
            <w:r>
              <w:t>F4</w:t>
            </w:r>
          </w:p>
        </w:tc>
        <w:tc>
          <w:tcPr>
            <w:tcW w:type="dxa" w:w="4968"/>
          </w:tcPr>
          <w:p>
            <w:r>
              <w:t>A literacy intervention improves test scores but not behavior or meaningful outcomes.</w:t>
            </w:r>
          </w:p>
        </w:tc>
      </w:tr>
      <w:tr>
        <w:tc>
          <w:tcPr>
            <w:tcW w:type="dxa" w:w="4968"/>
          </w:tcPr>
          <w:p>
            <w:r>
              <w:t>F5</w:t>
            </w:r>
          </w:p>
        </w:tc>
        <w:tc>
          <w:tcPr>
            <w:tcW w:type="dxa" w:w="4968"/>
          </w:tcPr>
          <w:p>
            <w:r>
              <w:t>Greater metric transparency increases pressure, gaming, or anxiety without sufficient benefit.</w:t>
            </w:r>
          </w:p>
        </w:tc>
      </w:tr>
      <w:tr>
        <w:tc>
          <w:tcPr>
            <w:tcW w:type="dxa" w:w="4968"/>
          </w:tcPr>
          <w:p>
            <w:r>
              <w:t>F6</w:t>
            </w:r>
          </w:p>
        </w:tc>
        <w:tc>
          <w:tcPr>
            <w:tcW w:type="dxa" w:w="4968"/>
          </w:tcPr>
          <w:p>
            <w:r>
              <w:t>The proposed assessment fails reliability, construct-validity, fairness, or predictive-validity testing.</w:t>
            </w:r>
          </w:p>
        </w:tc>
      </w:tr>
      <w:tr>
        <w:tc>
          <w:tcPr>
            <w:tcW w:type="dxa" w:w="4968"/>
          </w:tcPr>
          <w:p>
            <w:r>
              <w:t>F7</w:t>
            </w:r>
          </w:p>
        </w:tc>
        <w:tc>
          <w:tcPr>
            <w:tcW w:type="dxa" w:w="4968"/>
          </w:tcPr>
          <w:p>
            <w:r>
              <w:t>Effects do not replicate across employers, industries, channels, or role types.</w:t>
            </w:r>
          </w:p>
        </w:tc>
      </w:tr>
      <w:tr>
        <w:tc>
          <w:tcPr>
            <w:tcW w:type="dxa" w:w="4968"/>
          </w:tcPr>
          <w:p>
            <w:r>
              <w:t>F8</w:t>
            </w:r>
          </w:p>
        </w:tc>
        <w:tc>
          <w:tcPr>
            <w:tcW w:type="dxa" w:w="4968"/>
          </w:tcPr>
          <w:p>
            <w:r>
              <w:t>The knowledge most predictive of outcomes is employer-specific and does not support a portable pre-employment curriculum.</w:t>
            </w:r>
          </w:p>
        </w:tc>
      </w:tr>
    </w:tbl>
    <w:p>
      <w:pPr>
        <w:pStyle w:val="Heading1"/>
      </w:pPr>
      <w:r>
        <w:t>12. Data Collection Architecture</w:t>
      </w:r>
    </w:p>
    <w:p>
      <w:pPr>
        <w:pStyle w:val="ListBullet"/>
      </w:pPr>
      <w:r>
        <w:t>Level 1 — Social listening: exploratory questions about confusing metrics, 'why' explanations, and system understanding.</w:t>
      </w:r>
    </w:p>
    <w:p>
      <w:pPr>
        <w:pStyle w:val="ListBullet"/>
      </w:pPr>
      <w:r>
        <w:t>Level 2 — Frontline Pulse: brief self-report of perceived understanding plus one or two scenario items.</w:t>
      </w:r>
    </w:p>
    <w:p>
      <w:pPr>
        <w:pStyle w:val="ListBullet"/>
      </w:pPr>
      <w:r>
        <w:t>Level 3 — Study #003 assessment: scenario-based instrument plus validated/defensible measures of related constructs.</w:t>
      </w:r>
    </w:p>
    <w:p>
      <w:pPr>
        <w:pStyle w:val="ListBullet"/>
      </w:pPr>
      <w:r>
        <w:t>Level 4 — Structured interviews: frontline, supervisors, WFM, L&amp;D, HR/recruiting and operations.</w:t>
      </w:r>
    </w:p>
    <w:p>
      <w:pPr>
        <w:pStyle w:val="ListBullet"/>
      </w:pPr>
      <w:r>
        <w:t>Level 5 — Employer data: de-identified training exposure, proficiency and operational outcomes where available.</w:t>
      </w:r>
    </w:p>
    <w:p>
      <w:pPr>
        <w:pStyle w:val="ListBullet"/>
      </w:pPr>
      <w:r>
        <w:t>Level 6 — Longitudinal/intervention testing: measure literacy before and after instruction and track later outcomes.</w:t>
      </w:r>
    </w:p>
    <w:p>
      <w:pPr>
        <w:pStyle w:val="Heading1"/>
      </w:pPr>
      <w:r>
        <w:t>13. Sampling Strategy</w:t>
      </w:r>
    </w:p>
    <w:p>
      <w:r>
        <w:t>Discovery should include frontline employees at multiple tenure levels, early leavers, supervisors, WFM professionals, trainers/L&amp;D, HR/recruiting, and operations leaders across at least five industries and multiple employers. Sampling must intentionally include high-performing and struggling operations, positive and negative experiences, and different channels/work arrangements. Convenience samples will be labeled as such.</w:t>
      </w:r>
    </w:p>
    <w:p>
      <w:pPr>
        <w:pStyle w:val="Heading1"/>
      </w:pPr>
      <w:r>
        <w:t>14. Analysis Plan</w:t>
      </w:r>
    </w:p>
    <w:p>
      <w:pPr>
        <w:pStyle w:val="ListBullet"/>
      </w:pPr>
      <w:r>
        <w:t>Separate self-perceived understanding from demonstrated scenario performance.</w:t>
      </w:r>
    </w:p>
    <w:p>
      <w:pPr>
        <w:pStyle w:val="ListBullet"/>
      </w:pPr>
      <w:r>
        <w:t>Analyze domains individually before creating any composite Frontline Operational Literacy Index.</w:t>
      </w:r>
    </w:p>
    <w:p>
      <w:pPr>
        <w:pStyle w:val="ListBullet"/>
      </w:pPr>
      <w:r>
        <w:t>Test reliability and dimensionality before interpreting a total score.</w:t>
      </w:r>
    </w:p>
    <w:p>
      <w:pPr>
        <w:pStyle w:val="ListBullet"/>
      </w:pPr>
      <w:r>
        <w:t>Assess convergent/discriminant validity against related but distinct constructs such as tenure and role clarity.</w:t>
      </w:r>
    </w:p>
    <w:p>
      <w:pPr>
        <w:pStyle w:val="ListBullet"/>
      </w:pPr>
      <w:r>
        <w:t>Use multivariable models with prespecified covariates and employer effects where possible.</w:t>
      </w:r>
    </w:p>
    <w:p>
      <w:pPr>
        <w:pStyle w:val="ListBullet"/>
      </w:pPr>
      <w:r>
        <w:t>Test whether literacy adds predictive value beyond tenure, prior experience and supervisor support.</w:t>
      </w:r>
    </w:p>
    <w:p>
      <w:pPr>
        <w:pStyle w:val="ListBullet"/>
      </w:pPr>
      <w:r>
        <w:t>Use longitudinal/intervention designs before causal language.</w:t>
      </w:r>
    </w:p>
    <w:p>
      <w:pPr>
        <w:pStyle w:val="ListBullet"/>
      </w:pPr>
      <w:r>
        <w:t>Evaluate differential item performance/fairness across relevant groups when sample size permits.</w:t>
      </w:r>
    </w:p>
    <w:p>
      <w:pPr>
        <w:pStyle w:val="ListBullet"/>
      </w:pPr>
      <w:r>
        <w:t>Report null, adverse and contradictory findings alongside supportive results.</w:t>
      </w:r>
    </w:p>
    <w:p>
      <w:pPr>
        <w:pStyle w:val="Heading1"/>
      </w:pPr>
      <w:r>
        <w:t>15. Structured Interview Core</w:t>
      </w:r>
    </w:p>
    <w:p>
      <w:pPr>
        <w:pStyle w:val="ListNumber"/>
      </w:pPr>
      <w:r>
        <w:t>When you first started, which performance measures were explained to you?</w:t>
      </w:r>
    </w:p>
    <w:p>
      <w:pPr>
        <w:pStyle w:val="ListNumber"/>
      </w:pPr>
      <w:r>
        <w:t>Were you taught what the target was, why the measure existed, or both?</w:t>
      </w:r>
    </w:p>
    <w:p>
      <w:pPr>
        <w:pStyle w:val="ListNumber"/>
      </w:pPr>
      <w:r>
        <w:t>Which metric was hardest to understand in practice, and why?</w:t>
      </w:r>
    </w:p>
    <w:p>
      <w:pPr>
        <w:pStyle w:val="ListNumber"/>
      </w:pPr>
      <w:r>
        <w:t>Can you describe a time when one metric improved while another got worse?</w:t>
      </w:r>
    </w:p>
    <w:p>
      <w:pPr>
        <w:pStyle w:val="ListNumber"/>
      </w:pPr>
      <w:r>
        <w:t>Which results can a frontline employee meaningfully influence, and which are mostly system-level?</w:t>
      </w:r>
    </w:p>
    <w:p>
      <w:pPr>
        <w:pStyle w:val="ListNumber"/>
      </w:pPr>
      <w:r>
        <w:t>What did your supervisor do that helped—or failed to help—you understand the operation?</w:t>
      </w:r>
    </w:p>
    <w:p>
      <w:pPr>
        <w:pStyle w:val="ListNumber"/>
      </w:pPr>
      <w:r>
        <w:t>Did understanding the business context change how you approached your work? If so, how?</w:t>
      </w:r>
    </w:p>
    <w:p>
      <w:pPr>
        <w:pStyle w:val="ListNumber"/>
      </w:pPr>
      <w:r>
        <w:t>What metric do organizations most often oversimplify when talking with frontline employees?</w:t>
      </w:r>
    </w:p>
    <w:p>
      <w:pPr>
        <w:pStyle w:val="ListNumber"/>
      </w:pPr>
      <w:r>
        <w:t>What should every new employee understand before production, and what would be unnecessary overload?</w:t>
      </w:r>
    </w:p>
    <w:p>
      <w:pPr>
        <w:pStyle w:val="ListNumber"/>
      </w:pPr>
      <w:r>
        <w:t>What evidence would make you reject the idea that greater operational literacy improves frontline outcomes?</w:t>
      </w:r>
    </w:p>
    <w:p>
      <w:pPr>
        <w:pStyle w:val="Heading1"/>
      </w:pPr>
      <w:r>
        <w:t>16. Social Listening Prompts</w:t>
      </w:r>
    </w:p>
    <w:p>
      <w:pPr>
        <w:pStyle w:val="ListBullet"/>
      </w:pPr>
      <w:r>
        <w:t>What contact-center metric took you the longest to truly understand?</w:t>
      </w:r>
    </w:p>
    <w:p>
      <w:pPr>
        <w:pStyle w:val="ListBullet"/>
      </w:pPr>
      <w:r>
        <w:t>Were you taught WHY your metrics mattered—or mainly what target to hit?</w:t>
      </w:r>
    </w:p>
    <w:p>
      <w:pPr>
        <w:pStyle w:val="ListBullet"/>
      </w:pPr>
      <w:r>
        <w:t>What metric do frontline employees get blamed for that they do not fully control?</w:t>
      </w:r>
    </w:p>
    <w:p>
      <w:pPr>
        <w:pStyle w:val="ListBullet"/>
      </w:pPr>
      <w:r>
        <w:t>What is one contact-center concept every new hire should understand before production?</w:t>
      </w:r>
    </w:p>
    <w:p>
      <w:pPr>
        <w:pStyle w:val="ListBullet"/>
      </w:pPr>
      <w:r>
        <w:t>Has understanding the bigger operating picture ever changed how you handled your job? What changed?</w:t>
      </w:r>
    </w:p>
    <w:p>
      <w:r>
        <w:t>Public comments are exploratory signals only and must remain separate from formal research responses.</w:t>
      </w:r>
    </w:p>
    <w:p>
      <w:pPr>
        <w:pStyle w:val="Heading1"/>
      </w:pPr>
      <w:r>
        <w:t>17. Evidence Standards and Current Foundation</w:t>
      </w:r>
    </w:p>
    <w:p>
      <w:r>
        <w:t>Current industry documentation confirms that common WFM concepts are interdependent: schedule adherence compares actual activity with planned activity; occupancy concerns time spent handling work relative to available/on-queue time; service level measures contacts answered within a defined threshold; shrinkage reduces usable availability; and staffing translates demand into required capacity. These definitions justify testing whether frontline employees understand the system, but they do not establish that such understanding improves outcomes.</w:t>
      </w:r>
    </w:p>
    <w:p>
      <w:r>
        <w:t>A contact-center case study in a U.S. healthcare setting followed 120 customer-service agents for eight months and explicitly evaluated workforce-management and customer-experience KPIs together. This supports treating performance as multidimensional rather than reducing it to a single agent metric. It does not validate the proposed ResolveCX literacy construct.</w:t>
      </w:r>
    </w:p>
    <w:p>
      <w:pPr>
        <w:pStyle w:val="Heading1"/>
      </w:pPr>
      <w:r>
        <w:t>18. Claim Ladder</w:t>
      </w:r>
    </w:p>
    <w:tbl>
      <w:tblPr>
        <w:tblStyle w:val="TableGrid"/>
        <w:tblW w:type="auto" w:w="0"/>
        <w:jc w:val="center"/>
        <w:tblLook w:firstColumn="1" w:firstRow="1" w:lastColumn="0" w:lastRow="0" w:noHBand="0" w:noVBand="1" w:val="04A0"/>
      </w:tblPr>
      <w:tblGrid>
        <w:gridCol w:w="3312"/>
        <w:gridCol w:w="3312"/>
        <w:gridCol w:w="3312"/>
      </w:tblGrid>
      <w:tr>
        <w:tc>
          <w:tcPr>
            <w:tcW w:type="dxa" w:w="3312"/>
            <w:shd w:fill="0B3A53"/>
          </w:tcPr>
          <w:p>
            <w:r>
              <w:rPr>
                <w:b/>
                <w:color w:val="FFFFFF"/>
              </w:rPr>
              <w:t>Level</w:t>
            </w:r>
          </w:p>
        </w:tc>
        <w:tc>
          <w:tcPr>
            <w:tcW w:type="dxa" w:w="3312"/>
            <w:shd w:fill="0B3A53"/>
          </w:tcPr>
          <w:p>
            <w:r>
              <w:rPr>
                <w:b/>
                <w:color w:val="FFFFFF"/>
              </w:rPr>
              <w:t>Permitted Claim</w:t>
            </w:r>
          </w:p>
        </w:tc>
        <w:tc>
          <w:tcPr>
            <w:tcW w:type="dxa" w:w="3312"/>
            <w:shd w:fill="0B3A53"/>
          </w:tcPr>
          <w:p>
            <w:r>
              <w:rPr>
                <w:b/>
                <w:color w:val="FFFFFF"/>
              </w:rPr>
              <w:t>Minimum Evidence</w:t>
            </w:r>
          </w:p>
        </w:tc>
      </w:tr>
      <w:tr>
        <w:tc>
          <w:tcPr>
            <w:tcW w:type="dxa" w:w="3312"/>
          </w:tcPr>
          <w:p>
            <w:r>
              <w:t>0 — Observation</w:t>
            </w:r>
          </w:p>
        </w:tc>
        <w:tc>
          <w:tcPr>
            <w:tcW w:type="dxa" w:w="3312"/>
          </w:tcPr>
          <w:p>
            <w:r>
              <w:t>Participants report confusion or understanding around X.</w:t>
            </w:r>
          </w:p>
        </w:tc>
        <w:tc>
          <w:tcPr>
            <w:tcW w:type="dxa" w:w="3312"/>
          </w:tcPr>
          <w:p>
            <w:r>
              <w:t>Exploratory listening/interviews</w:t>
            </w:r>
          </w:p>
        </w:tc>
      </w:tr>
      <w:tr>
        <w:tc>
          <w:tcPr>
            <w:tcW w:type="dxa" w:w="3312"/>
          </w:tcPr>
          <w:p>
            <w:r>
              <w:t>1 — Measurement</w:t>
            </w:r>
          </w:p>
        </w:tc>
        <w:tc>
          <w:tcPr>
            <w:tcW w:type="dxa" w:w="3312"/>
          </w:tcPr>
          <w:p>
            <w:r>
              <w:t>The instrument measures a defensible literacy construct in this sample.</w:t>
            </w:r>
          </w:p>
        </w:tc>
        <w:tc>
          <w:tcPr>
            <w:tcW w:type="dxa" w:w="3312"/>
          </w:tcPr>
          <w:p>
            <w:r>
              <w:t>Psychometric evidence</w:t>
            </w:r>
          </w:p>
        </w:tc>
      </w:tr>
      <w:tr>
        <w:tc>
          <w:tcPr>
            <w:tcW w:type="dxa" w:w="3312"/>
          </w:tcPr>
          <w:p>
            <w:r>
              <w:t>2 — Association</w:t>
            </w:r>
          </w:p>
        </w:tc>
        <w:tc>
          <w:tcPr>
            <w:tcW w:type="dxa" w:w="3312"/>
          </w:tcPr>
          <w:p>
            <w:r>
              <w:t>Literacy is associated with Y.</w:t>
            </w:r>
          </w:p>
        </w:tc>
        <w:tc>
          <w:tcPr>
            <w:tcW w:type="dxa" w:w="3312"/>
          </w:tcPr>
          <w:p>
            <w:r>
              <w:t>Adequate sample + controls</w:t>
            </w:r>
          </w:p>
        </w:tc>
      </w:tr>
      <w:tr>
        <w:tc>
          <w:tcPr>
            <w:tcW w:type="dxa" w:w="3312"/>
          </w:tcPr>
          <w:p>
            <w:r>
              <w:t>3 — Prediction</w:t>
            </w:r>
          </w:p>
        </w:tc>
        <w:tc>
          <w:tcPr>
            <w:tcW w:type="dxa" w:w="3312"/>
          </w:tcPr>
          <w:p>
            <w:r>
              <w:t>Literacy predicts later Y beyond key alternatives.</w:t>
            </w:r>
          </w:p>
        </w:tc>
        <w:tc>
          <w:tcPr>
            <w:tcW w:type="dxa" w:w="3312"/>
          </w:tcPr>
          <w:p>
            <w:r>
              <w:t>Longitudinal evidence</w:t>
            </w:r>
          </w:p>
        </w:tc>
      </w:tr>
      <w:tr>
        <w:tc>
          <w:tcPr>
            <w:tcW w:type="dxa" w:w="3312"/>
          </w:tcPr>
          <w:p>
            <w:r>
              <w:t>4 — Replication</w:t>
            </w:r>
          </w:p>
        </w:tc>
        <w:tc>
          <w:tcPr>
            <w:tcW w:type="dxa" w:w="3312"/>
          </w:tcPr>
          <w:p>
            <w:r>
              <w:t>Relationship appears across employers/contexts.</w:t>
            </w:r>
          </w:p>
        </w:tc>
        <w:tc>
          <w:tcPr>
            <w:tcW w:type="dxa" w:w="3312"/>
          </w:tcPr>
          <w:p>
            <w:r>
              <w:t>External/multi-site evidence</w:t>
            </w:r>
          </w:p>
        </w:tc>
      </w:tr>
      <w:tr>
        <w:tc>
          <w:tcPr>
            <w:tcW w:type="dxa" w:w="3312"/>
          </w:tcPr>
          <w:p>
            <w:r>
              <w:t>5 — Intervention</w:t>
            </w:r>
          </w:p>
        </w:tc>
        <w:tc>
          <w:tcPr>
            <w:tcW w:type="dxa" w:w="3312"/>
          </w:tcPr>
          <w:p>
            <w:r>
              <w:t>Teaching literacy changes meaningful outcomes.</w:t>
            </w:r>
          </w:p>
        </w:tc>
        <w:tc>
          <w:tcPr>
            <w:tcW w:type="dxa" w:w="3312"/>
          </w:tcPr>
          <w:p>
            <w:r>
              <w:t>Prospective experimental/strong quasi-experimental evidence</w:t>
            </w:r>
          </w:p>
        </w:tc>
      </w:tr>
      <w:tr>
        <w:tc>
          <w:tcPr>
            <w:tcW w:type="dxa" w:w="3312"/>
          </w:tcPr>
          <w:p>
            <w:r>
              <w:t>6 — Economic value</w:t>
            </w:r>
          </w:p>
        </w:tc>
        <w:tc>
          <w:tcPr>
            <w:tcW w:type="dxa" w:w="3312"/>
          </w:tcPr>
          <w:p>
            <w:r>
              <w:t>Intervention produces measurable economic value.</w:t>
            </w:r>
          </w:p>
        </w:tc>
        <w:tc>
          <w:tcPr>
            <w:tcW w:type="dxa" w:w="3312"/>
          </w:tcPr>
          <w:p>
            <w:r>
              <w:t>Validated outcomes + cost/benefit evidence</w:t>
            </w:r>
          </w:p>
        </w:tc>
      </w:tr>
    </w:tbl>
    <w:p>
      <w:pPr>
        <w:pStyle w:val="Heading1"/>
      </w:pPr>
      <w:r>
        <w:t>19. Research Quality and Release Standards</w:t>
      </w:r>
    </w:p>
    <w:p>
      <w:pPr>
        <w:pStyle w:val="ListBullet"/>
      </w:pPr>
      <w:r>
        <w:t>Define the construct before scoring it.</w:t>
      </w:r>
    </w:p>
    <w:p>
      <w:pPr>
        <w:pStyle w:val="ListBullet"/>
      </w:pPr>
      <w:r>
        <w:t>Prefer demonstrated understanding over terminology recall.</w:t>
      </w:r>
    </w:p>
    <w:p>
      <w:pPr>
        <w:pStyle w:val="ListBullet"/>
      </w:pPr>
      <w:r>
        <w:t>Keep individual control separate from system accountability.</w:t>
      </w:r>
    </w:p>
    <w:p>
      <w:pPr>
        <w:pStyle w:val="ListBullet"/>
      </w:pPr>
      <w:r>
        <w:t>Use multiple perspectives and employers.</w:t>
      </w:r>
    </w:p>
    <w:p>
      <w:pPr>
        <w:pStyle w:val="ListBullet"/>
      </w:pPr>
      <w:r>
        <w:t>Include objective outcomes where feasible.</w:t>
      </w:r>
    </w:p>
    <w:p>
      <w:pPr>
        <w:pStyle w:val="ListBullet"/>
      </w:pPr>
      <w:r>
        <w:t>Model alternative explanations and directionality.</w:t>
      </w:r>
    </w:p>
    <w:p>
      <w:pPr>
        <w:pStyle w:val="ListBullet"/>
      </w:pPr>
      <w:r>
        <w:t>Predefine falsification conditions.</w:t>
      </w:r>
    </w:p>
    <w:p>
      <w:pPr>
        <w:pStyle w:val="ListBullet"/>
      </w:pPr>
      <w:r>
        <w:t>Validate any proprietary instrument before naming it as an index or readiness measure.</w:t>
      </w:r>
    </w:p>
    <w:p>
      <w:pPr>
        <w:pStyle w:val="ListBullet"/>
      </w:pPr>
      <w:r>
        <w:t>Separate exploratory and confirmatory analyses.</w:t>
      </w:r>
    </w:p>
    <w:p>
      <w:pPr>
        <w:pStyle w:val="ListBullet"/>
      </w:pPr>
      <w:r>
        <w:t>Require replication before broad industry claims.</w:t>
      </w:r>
    </w:p>
    <w:p>
      <w:pPr>
        <w:pStyle w:val="Heading1"/>
      </w:pPr>
      <w:r>
        <w:t>20. Immediate Implementation Sequence</w:t>
      </w:r>
    </w:p>
    <w:p>
      <w:pPr>
        <w:pStyle w:val="ListNumber"/>
      </w:pPr>
      <w:r>
        <w:t>Create the Study #003 Evidence Registry and construct dictionary.</w:t>
      </w:r>
    </w:p>
    <w:p>
      <w:pPr>
        <w:pStyle w:val="ListNumber"/>
      </w:pPr>
      <w:r>
        <w:t>Draft 12–18 scenario items across the six operating-system layers.</w:t>
      </w:r>
    </w:p>
    <w:p>
      <w:pPr>
        <w:pStyle w:val="ListNumber"/>
      </w:pPr>
      <w:r>
        <w:t>Have WFM, operations, frontline and L&amp;D reviewers independently assess content relevance and role appropriateness.</w:t>
      </w:r>
    </w:p>
    <w:p>
      <w:pPr>
        <w:pStyle w:val="ListNumber"/>
      </w:pPr>
      <w:r>
        <w:t>If new or materially adapted items remain necessary after the Evidence Sufficiency Review, conduct 5–10 cognitive interviews to test wording, interpretation and burden.</w:t>
      </w:r>
    </w:p>
    <w:p>
      <w:pPr>
        <w:pStyle w:val="ListNumber"/>
      </w:pPr>
      <w:r>
        <w:t>Pilot the instrument without publishing a composite score.</w:t>
      </w:r>
    </w:p>
    <w:p>
      <w:pPr>
        <w:pStyle w:val="ListNumber"/>
      </w:pPr>
      <w:r>
        <w:t>Link Study #003 data to Study #001 outcomes and Study #002 expectation-gap data using a common anonymous participant ID.</w:t>
      </w:r>
    </w:p>
    <w:p>
      <w:pPr>
        <w:pStyle w:val="ListNumber"/>
      </w:pPr>
      <w:r>
        <w:t>Preregister confirmatory hypotheses and primary outcomes before predictive testing.</w:t>
      </w:r>
    </w:p>
    <w:p>
      <w:pPr>
        <w:pStyle w:val="ListNumber"/>
      </w:pPr>
      <w:r>
        <w:t>Only after validation, decide whether a portable Frontline Operational Literacy measure is justified.</w:t>
      </w:r>
    </w:p>
    <w:p>
      <w:pPr>
        <w:pStyle w:val="Heading1"/>
      </w:pPr>
      <w:r>
        <w:t>21. Construct Architecture Upgrade</w:t>
      </w:r>
    </w:p>
    <w:p>
      <w:r>
        <w:t>Study #003 will not treat literacy as a single undifferentiated construct. The instrument-development phase will test three related but distinct domains. A composite score will not be published unless empirical evidence supports combining them.</w:t>
      </w:r>
    </w:p>
    <w:tbl>
      <w:tblPr>
        <w:tblStyle w:val="TableGrid"/>
        <w:tblW w:type="auto" w:w="0"/>
        <w:jc w:val="center"/>
        <w:tblLook w:firstColumn="1" w:firstRow="1" w:lastColumn="0" w:lastRow="0" w:noHBand="0" w:noVBand="1" w:val="04A0"/>
      </w:tblPr>
      <w:tblGrid>
        <w:gridCol w:w="3312"/>
        <w:gridCol w:w="3312"/>
        <w:gridCol w:w="3312"/>
      </w:tblGrid>
      <w:tr>
        <w:tc>
          <w:tcPr>
            <w:tcW w:type="dxa" w:w="3312"/>
            <w:shd w:fill="0B3A53"/>
          </w:tcPr>
          <w:p>
            <w:r>
              <w:rPr>
                <w:b/>
                <w:color w:val="FFFFFF"/>
              </w:rPr>
              <w:t>Domain</w:t>
            </w:r>
          </w:p>
        </w:tc>
        <w:tc>
          <w:tcPr>
            <w:tcW w:type="dxa" w:w="3312"/>
            <w:shd w:fill="0B3A53"/>
          </w:tcPr>
          <w:p>
            <w:r>
              <w:rPr>
                <w:b/>
                <w:color w:val="FFFFFF"/>
              </w:rPr>
              <w:t>Core Question</w:t>
            </w:r>
          </w:p>
        </w:tc>
        <w:tc>
          <w:tcPr>
            <w:tcW w:type="dxa" w:w="3312"/>
            <w:shd w:fill="0B3A53"/>
          </w:tcPr>
          <w:p>
            <w:r>
              <w:rPr>
                <w:b/>
                <w:color w:val="FFFFFF"/>
              </w:rPr>
              <w:t>Illustrative Content</w:t>
            </w:r>
          </w:p>
        </w:tc>
      </w:tr>
      <w:tr>
        <w:tc>
          <w:tcPr>
            <w:tcW w:type="dxa" w:w="3312"/>
          </w:tcPr>
          <w:p>
            <w:r>
              <w:t>A — Role Literacy</w:t>
            </w:r>
          </w:p>
        </w:tc>
        <w:tc>
          <w:tcPr>
            <w:tcW w:type="dxa" w:w="3312"/>
          </w:tcPr>
          <w:p>
            <w:r>
              <w:t>What can I reasonably influence or control?</w:t>
            </w:r>
          </w:p>
        </w:tc>
        <w:tc>
          <w:tcPr>
            <w:tcW w:type="dxa" w:w="3312"/>
          </w:tcPr>
          <w:p>
            <w:r>
              <w:t>Role expectations, adherence behavior, availability, quality behaviors, documentation, escalation and process execution.</w:t>
            </w:r>
          </w:p>
        </w:tc>
      </w:tr>
      <w:tr>
        <w:tc>
          <w:tcPr>
            <w:tcW w:type="dxa" w:w="3312"/>
          </w:tcPr>
          <w:p>
            <w:r>
              <w:t>B — Operational Literacy</w:t>
            </w:r>
          </w:p>
        </w:tc>
        <w:tc>
          <w:tcPr>
            <w:tcW w:type="dxa" w:w="3312"/>
          </w:tcPr>
          <w:p>
            <w:r>
              <w:t>How does the contact-center operating system work?</w:t>
            </w:r>
          </w:p>
        </w:tc>
        <w:tc>
          <w:tcPr>
            <w:tcW w:type="dxa" w:w="3312"/>
          </w:tcPr>
          <w:p>
            <w:r>
              <w:t>Demand, forecasting, staffing, shrinkage, schedules, occupancy, service level, abandonment, workload and queue tradeoffs.</w:t>
            </w:r>
          </w:p>
        </w:tc>
      </w:tr>
      <w:tr>
        <w:tc>
          <w:tcPr>
            <w:tcW w:type="dxa" w:w="3312"/>
          </w:tcPr>
          <w:p>
            <w:r>
              <w:t>C — Business Literacy</w:t>
            </w:r>
          </w:p>
        </w:tc>
        <w:tc>
          <w:tcPr>
            <w:tcW w:type="dxa" w:w="3312"/>
          </w:tcPr>
          <w:p>
            <w:r>
              <w:t>Why do operational outcomes matter to the organization and customer?</w:t>
            </w:r>
          </w:p>
        </w:tc>
        <w:tc>
          <w:tcPr>
            <w:tcW w:type="dxa" w:w="3312"/>
          </w:tcPr>
          <w:p>
            <w:r>
              <w:t>Customer retention/experience, cost, value/revenue, risk, brand, employee sustainability and organizational performance.</w:t>
            </w:r>
          </w:p>
        </w:tc>
      </w:tr>
    </w:tbl>
    <w:p>
      <w:r>
        <w:t>The analysis will test whether these domains relate differently to outcomes. For example, role literacy may relate more strongly to role clarity or execution, while operational literacy may relate to judgment. Business literacy may or may not add incremental value. These are empirical questions, not assumptions.</w:t>
      </w:r>
    </w:p>
    <w:p>
      <w:pPr>
        <w:pStyle w:val="Heading1"/>
      </w:pPr>
      <w:r>
        <w:t>22. Metric Misconception Assessment</w:t>
      </w:r>
    </w:p>
    <w:p>
      <w:r>
        <w:t>The assessment will distinguish absence of knowledge from confident misunderstanding. Misconception items will be scenario-based or proposition-based and reviewed by multiple subject-matter experts before use. A respondent who selects 'I do not know / insufficient information' will not automatically be scored the same as a respondent who confidently endorses an incorrect causal claim.</w:t>
      </w:r>
    </w:p>
    <w:p>
      <w:pPr>
        <w:pStyle w:val="ListBullet"/>
      </w:pPr>
      <w:r>
        <w:t>Illustrative proposition only — Lower average handle time always indicates better performance.</w:t>
      </w:r>
    </w:p>
    <w:p>
      <w:pPr>
        <w:pStyle w:val="ListBullet"/>
      </w:pPr>
      <w:r>
        <w:t>Illustrative proposition only — A decline in service level can be attributed to frontline handling behavior without first examining demand, staffing and capacity.</w:t>
      </w:r>
    </w:p>
    <w:p>
      <w:pPr>
        <w:pStyle w:val="ListBullet"/>
      </w:pPr>
      <w:r>
        <w:t>Illustrative proposition only — Higher occupancy is always operationally better.</w:t>
      </w:r>
    </w:p>
    <w:p>
      <w:pPr>
        <w:pStyle w:val="ListBullet"/>
      </w:pPr>
      <w:r>
        <w:t>Illustrative proposition only — Rising abandonment necessarily means individual employees are taking too long.</w:t>
      </w:r>
    </w:p>
    <w:p>
      <w:pPr>
        <w:pStyle w:val="ListBullet"/>
      </w:pPr>
      <w:r>
        <w:t>Illustrative proposition only — Shrinkage is equivalent to employees not working.</w:t>
      </w:r>
    </w:p>
    <w:p>
      <w:r>
        <w:t>These examples are not approved scored items. Each must be rewritten to account for context, reviewed for technical accuracy and ambiguity, and cognitively tested.</w:t>
      </w:r>
    </w:p>
    <w:p>
      <w:pPr>
        <w:pStyle w:val="Heading1"/>
      </w:pPr>
      <w:r>
        <w:t>23. Employer Transparency and Teaching Exposure</w:t>
      </w:r>
    </w:p>
    <w:p>
      <w:r>
        <w:t>Low literacy cannot be interpreted as an employee deficit without measuring what the employer actually taught and explained. Study #003 will therefore capture teaching exposure and transparency as separate variables.</w:t>
      </w:r>
    </w:p>
    <w:tbl>
      <w:tblPr>
        <w:tblStyle w:val="TableGrid"/>
        <w:tblW w:type="auto" w:w="0"/>
        <w:jc w:val="center"/>
        <w:tblLook w:firstColumn="1" w:firstRow="1" w:lastColumn="0" w:lastRow="0" w:noHBand="0" w:noVBand="1" w:val="04A0"/>
      </w:tblPr>
      <w:tblGrid>
        <w:gridCol w:w="4968"/>
        <w:gridCol w:w="4968"/>
      </w:tblGrid>
      <w:tr>
        <w:tc>
          <w:tcPr>
            <w:tcW w:type="dxa" w:w="4968"/>
            <w:shd w:fill="0B3A53"/>
          </w:tcPr>
          <w:p>
            <w:r>
              <w:rPr>
                <w:b/>
                <w:color w:val="FFFFFF"/>
              </w:rPr>
              <w:t>Variable</w:t>
            </w:r>
          </w:p>
        </w:tc>
        <w:tc>
          <w:tcPr>
            <w:tcW w:type="dxa" w:w="4968"/>
            <w:shd w:fill="0B3A53"/>
          </w:tcPr>
          <w:p>
            <w:r>
              <w:rPr>
                <w:b/>
                <w:color w:val="FFFFFF"/>
              </w:rPr>
              <w:t>Question to Establish</w:t>
            </w:r>
          </w:p>
        </w:tc>
      </w:tr>
      <w:tr>
        <w:tc>
          <w:tcPr>
            <w:tcW w:type="dxa" w:w="4968"/>
          </w:tcPr>
          <w:p>
            <w:r>
              <w:t>Exposure</w:t>
            </w:r>
          </w:p>
        </w:tc>
        <w:tc>
          <w:tcPr>
            <w:tcW w:type="dxa" w:w="4968"/>
          </w:tcPr>
          <w:p>
            <w:r>
              <w:t>Was the concept taught at all?</w:t>
            </w:r>
          </w:p>
        </w:tc>
      </w:tr>
      <w:tr>
        <w:tc>
          <w:tcPr>
            <w:tcW w:type="dxa" w:w="4968"/>
          </w:tcPr>
          <w:p>
            <w:r>
              <w:t>Target communication</w:t>
            </w:r>
          </w:p>
        </w:tc>
        <w:tc>
          <w:tcPr>
            <w:tcW w:type="dxa" w:w="4968"/>
          </w:tcPr>
          <w:p>
            <w:r>
              <w:t>Was the employee told the target or expected behavior?</w:t>
            </w:r>
          </w:p>
        </w:tc>
      </w:tr>
      <w:tr>
        <w:tc>
          <w:tcPr>
            <w:tcW w:type="dxa" w:w="4968"/>
          </w:tcPr>
          <w:p>
            <w:r>
              <w:t>Rationale</w:t>
            </w:r>
          </w:p>
        </w:tc>
        <w:tc>
          <w:tcPr>
            <w:tcW w:type="dxa" w:w="4968"/>
          </w:tcPr>
          <w:p>
            <w:r>
              <w:t>Was the reason the measure matters explained?</w:t>
            </w:r>
          </w:p>
        </w:tc>
      </w:tr>
      <w:tr>
        <w:tc>
          <w:tcPr>
            <w:tcW w:type="dxa" w:w="4968"/>
          </w:tcPr>
          <w:p>
            <w:r>
              <w:t>Systems connection</w:t>
            </w:r>
          </w:p>
        </w:tc>
        <w:tc>
          <w:tcPr>
            <w:tcW w:type="dxa" w:w="4968"/>
          </w:tcPr>
          <w:p>
            <w:r>
              <w:t>Was the relationship to other operational measures explained?</w:t>
            </w:r>
          </w:p>
        </w:tc>
      </w:tr>
      <w:tr>
        <w:tc>
          <w:tcPr>
            <w:tcW w:type="dxa" w:w="4968"/>
          </w:tcPr>
          <w:p>
            <w:r>
              <w:t>Controllability</w:t>
            </w:r>
          </w:p>
        </w:tc>
        <w:tc>
          <w:tcPr>
            <w:tcW w:type="dxa" w:w="4968"/>
          </w:tcPr>
          <w:p>
            <w:r>
              <w:t>Was the employee taught what they can and cannot influence?</w:t>
            </w:r>
          </w:p>
        </w:tc>
      </w:tr>
      <w:tr>
        <w:tc>
          <w:tcPr>
            <w:tcW w:type="dxa" w:w="4968"/>
          </w:tcPr>
          <w:p>
            <w:r>
              <w:t>Reinforcement</w:t>
            </w:r>
          </w:p>
        </w:tc>
        <w:tc>
          <w:tcPr>
            <w:tcW w:type="dxa" w:w="4968"/>
          </w:tcPr>
          <w:p>
            <w:r>
              <w:t>Was the concept reinforced through coaching, examples or feedback?</w:t>
            </w:r>
          </w:p>
        </w:tc>
      </w:tr>
      <w:tr>
        <w:tc>
          <w:tcPr>
            <w:tcW w:type="dxa" w:w="4968"/>
          </w:tcPr>
          <w:p>
            <w:r>
              <w:t>Consistency</w:t>
            </w:r>
          </w:p>
        </w:tc>
        <w:tc>
          <w:tcPr>
            <w:tcW w:type="dxa" w:w="4968"/>
          </w:tcPr>
          <w:p>
            <w:r>
              <w:t>Did supervisors and training communicate the concept consistently?</w:t>
            </w:r>
          </w:p>
        </w:tc>
      </w:tr>
    </w:tbl>
    <w:p>
      <w:r>
        <w:t>This permits competing explanations such as knowledge deficit, insufficient teaching exposure, inconsistent explanation, or organizational transparency failure.</w:t>
      </w:r>
    </w:p>
    <w:p>
      <w:pPr>
        <w:pStyle w:val="Heading1"/>
      </w:pPr>
      <w:r>
        <w:t>24. Evidence Base and Source Sufficiency Standard</w:t>
      </w:r>
    </w:p>
    <w:p>
      <w:r>
        <w:t>Protocol v1.2 contained a small foundation rather than a mature evidence base. Protocol v1.2 establishes a formal source-development requirement. Before confirmatory testing, the Evidence Registry should contain at least 20 high-relevance sources, including at least 8 peer-reviewed empirical studies or meta-analyses/systematic reviews, at least 4 contact-center-specific empirical sources, at least 3 measurement/psychometric methodology authorities, and credible operational/WFM references. The target is diversity and evidentiary relevance, not source count for its own sake.</w:t>
      </w:r>
    </w:p>
    <w:p>
      <w:r>
        <w:t>Sources must be coded as SUPPORTIVE, CONTRADICTORY/CAUTIONARY, METHOD, CONTEXT, or NEUTRAL. A study is not considered validated because many sources discuss KPIs; the decisive evidence is whether the proposed constructs can be measured validly and whether they predict meaningful outcomes beyond competing explanations.</w:t>
      </w:r>
    </w:p>
    <w:tbl>
      <w:tblPr>
        <w:tblStyle w:val="TableGrid"/>
        <w:tblW w:type="auto" w:w="0"/>
        <w:jc w:val="center"/>
        <w:tblLook w:firstColumn="1" w:firstRow="1" w:lastColumn="0" w:lastRow="0" w:noHBand="0" w:noVBand="1" w:val="04A0"/>
      </w:tblPr>
      <w:tblGrid>
        <w:gridCol w:w="2484"/>
        <w:gridCol w:w="2484"/>
        <w:gridCol w:w="2484"/>
        <w:gridCol w:w="2484"/>
      </w:tblGrid>
      <w:tr>
        <w:tc>
          <w:tcPr>
            <w:tcW w:type="dxa" w:w="2484"/>
            <w:shd w:fill="0B3A53"/>
          </w:tcPr>
          <w:p>
            <w:r>
              <w:rPr>
                <w:b/>
                <w:color w:val="FFFFFF"/>
              </w:rPr>
              <w:t>Anchor Source</w:t>
            </w:r>
          </w:p>
        </w:tc>
        <w:tc>
          <w:tcPr>
            <w:tcW w:type="dxa" w:w="2484"/>
            <w:shd w:fill="0B3A53"/>
          </w:tcPr>
          <w:p>
            <w:r>
              <w:rPr>
                <w:b/>
                <w:color w:val="FFFFFF"/>
              </w:rPr>
              <w:t>Evidence Type</w:t>
            </w:r>
          </w:p>
        </w:tc>
        <w:tc>
          <w:tcPr>
            <w:tcW w:type="dxa" w:w="2484"/>
            <w:shd w:fill="0B3A53"/>
          </w:tcPr>
          <w:p>
            <w:r>
              <w:rPr>
                <w:b/>
                <w:color w:val="FFFFFF"/>
              </w:rPr>
              <w:t>What It Contributes</w:t>
            </w:r>
          </w:p>
        </w:tc>
        <w:tc>
          <w:tcPr>
            <w:tcW w:type="dxa" w:w="2484"/>
            <w:shd w:fill="0B3A53"/>
          </w:tcPr>
          <w:p>
            <w:r>
              <w:rPr>
                <w:b/>
                <w:color w:val="FFFFFF"/>
              </w:rPr>
              <w:t>How It Could Limit/Disprove</w:t>
            </w:r>
          </w:p>
        </w:tc>
      </w:tr>
      <w:tr>
        <w:tc>
          <w:tcPr>
            <w:tcW w:type="dxa" w:w="2484"/>
          </w:tcPr>
          <w:p>
            <w:r>
              <w:t>McDaniel et al. (2001), Journal of Applied Psychology</w:t>
            </w:r>
          </w:p>
        </w:tc>
        <w:tc>
          <w:tcPr>
            <w:tcW w:type="dxa" w:w="2484"/>
          </w:tcPr>
          <w:p>
            <w:r>
              <w:t>Meta-analysis / method</w:t>
            </w:r>
          </w:p>
        </w:tc>
        <w:tc>
          <w:tcPr>
            <w:tcW w:type="dxa" w:w="2484"/>
          </w:tcPr>
          <w:p>
            <w:r>
              <w:t>102 validity coefficients; 10,640 people. SJTs showed useful criterion-related validity; also correlated with cognitive ability.</w:t>
            </w:r>
          </w:p>
        </w:tc>
        <w:tc>
          <w:tcPr>
            <w:tcW w:type="dxa" w:w="2484"/>
          </w:tcPr>
          <w:p>
            <w:r>
              <w:t>Supports scenario-based method; warns that scores can reflect other abilities.</w:t>
            </w:r>
          </w:p>
        </w:tc>
      </w:tr>
      <w:tr>
        <w:tc>
          <w:tcPr>
            <w:tcW w:type="dxa" w:w="2484"/>
          </w:tcPr>
          <w:p>
            <w:r>
              <w:t>McDaniel et al. (2007), Personnel Psychology</w:t>
            </w:r>
          </w:p>
        </w:tc>
        <w:tc>
          <w:tcPr>
            <w:tcW w:type="dxa" w:w="2484"/>
          </w:tcPr>
          <w:p>
            <w:r>
              <w:t>Meta-analysis / method</w:t>
            </w:r>
          </w:p>
        </w:tc>
        <w:tc>
          <w:tcPr>
            <w:tcW w:type="dxa" w:w="2484"/>
          </w:tcPr>
          <w:p>
            <w:r>
              <w:t>Response instructions changed constructs measured; SJTs showed incremental validity over cognitive ability/personality composites.</w:t>
            </w:r>
          </w:p>
        </w:tc>
        <w:tc>
          <w:tcPr>
            <w:tcW w:type="dxa" w:w="2484"/>
          </w:tcPr>
          <w:p>
            <w:r>
              <w:t>Supports careful item instructions and construct separation.</w:t>
            </w:r>
          </w:p>
        </w:tc>
      </w:tr>
      <w:tr>
        <w:tc>
          <w:tcPr>
            <w:tcW w:type="dxa" w:w="2484"/>
          </w:tcPr>
          <w:p>
            <w:r>
              <w:t>Christian, Edwards &amp; Bradley (2010), Personnel Psychology</w:t>
            </w:r>
          </w:p>
        </w:tc>
        <w:tc>
          <w:tcPr>
            <w:tcW w:type="dxa" w:w="2484"/>
          </w:tcPr>
          <w:p>
            <w:r>
              <w:t>Meta-analysis / method</w:t>
            </w:r>
          </w:p>
        </w:tc>
        <w:tc>
          <w:tcPr>
            <w:tcW w:type="dxa" w:w="2484"/>
          </w:tcPr>
          <w:p>
            <w:r>
              <w:t>Construct matching improved criterion-related validity; SJTs measure heterogeneous constructs.</w:t>
            </w:r>
          </w:p>
        </w:tc>
        <w:tc>
          <w:tcPr>
            <w:tcW w:type="dxa" w:w="2484"/>
          </w:tcPr>
          <w:p>
            <w:r>
              <w:t>Strong caution against a vague single 'literacy' score.</w:t>
            </w:r>
          </w:p>
        </w:tc>
      </w:tr>
      <w:tr>
        <w:tc>
          <w:tcPr>
            <w:tcW w:type="dxa" w:w="2484"/>
          </w:tcPr>
          <w:p>
            <w:r>
              <w:t>Webster et al. (2020), Medical Education</w:t>
            </w:r>
          </w:p>
        </w:tc>
        <w:tc>
          <w:tcPr>
            <w:tcW w:type="dxa" w:w="2484"/>
          </w:tcPr>
          <w:p>
            <w:r>
              <w:t>Systematic review/meta-analysis / method</w:t>
            </w:r>
          </w:p>
        </w:tc>
        <w:tc>
          <w:tcPr>
            <w:tcW w:type="dxa" w:w="2484"/>
          </w:tcPr>
          <w:p>
            <w:r>
              <w:t>30 studies; pooled SJT validity about .32 with substantial heterogeneity and moderate risk of bias.</w:t>
            </w:r>
          </w:p>
        </w:tc>
        <w:tc>
          <w:tcPr>
            <w:tcW w:type="dxa" w:w="2484"/>
          </w:tcPr>
          <w:p>
            <w:r>
              <w:t>Supports method while demonstrating context sensitivity.</w:t>
            </w:r>
          </w:p>
        </w:tc>
      </w:tr>
      <w:tr>
        <w:tc>
          <w:tcPr>
            <w:tcW w:type="dxa" w:w="2484"/>
          </w:tcPr>
          <w:p>
            <w:r>
              <w:t>Franco-Santos et al. (2012), Management Accounting Research</w:t>
            </w:r>
          </w:p>
        </w:tc>
        <w:tc>
          <w:tcPr>
            <w:tcW w:type="dxa" w:w="2484"/>
          </w:tcPr>
          <w:p>
            <w:r>
              <w:t>Review</w:t>
            </w:r>
          </w:p>
        </w:tc>
        <w:tc>
          <w:tcPr>
            <w:tcW w:type="dxa" w:w="2484"/>
          </w:tcPr>
          <w:p>
            <w:r>
              <w:t>In-depth review of 76 empirical studies; performance measurement systems affect behavior, capabilities and performance, with inconsistencies/gaps.</w:t>
            </w:r>
          </w:p>
        </w:tc>
        <w:tc>
          <w:tcPr>
            <w:tcW w:type="dxa" w:w="2484"/>
          </w:tcPr>
          <w:p>
            <w:r>
              <w:t>Supports studying behavioral consequences; cautions against assuming uniformly positive effects.</w:t>
            </w:r>
          </w:p>
        </w:tc>
      </w:tr>
      <w:tr>
        <w:tc>
          <w:tcPr>
            <w:tcW w:type="dxa" w:w="2484"/>
          </w:tcPr>
          <w:p>
            <w:r>
              <w:t>Patel, Xing &amp; Patel (2011), PACIS</w:t>
            </w:r>
          </w:p>
        </w:tc>
        <w:tc>
          <w:tcPr>
            <w:tcW w:type="dxa" w:w="2484"/>
          </w:tcPr>
          <w:p>
            <w:r>
              <w:t>Contact-center empirical/framework</w:t>
            </w:r>
          </w:p>
        </w:tc>
        <w:tc>
          <w:tcPr>
            <w:tcW w:type="dxa" w:w="2484"/>
          </w:tcPr>
          <w:p>
            <w:r>
              <w:t>Developed/tested a multi-dimensional contact-center KPI framework; survey of contact-center professionals.</w:t>
            </w:r>
          </w:p>
        </w:tc>
        <w:tc>
          <w:tcPr>
            <w:tcW w:type="dxa" w:w="2484"/>
          </w:tcPr>
          <w:p>
            <w:r>
              <w:t>Supports multidimensional contact-center measurement.</w:t>
            </w:r>
          </w:p>
        </w:tc>
      </w:tr>
      <w:tr>
        <w:tc>
          <w:tcPr>
            <w:tcW w:type="dxa" w:w="2484"/>
          </w:tcPr>
          <w:p>
            <w:r>
              <w:t>Robinson &amp; Morley (2006), International Journal of Service Industry Management</w:t>
            </w:r>
          </w:p>
        </w:tc>
        <w:tc>
          <w:tcPr>
            <w:tcW w:type="dxa" w:w="2484"/>
          </w:tcPr>
          <w:p>
            <w:r>
              <w:t>Contact-center empirical</w:t>
            </w:r>
          </w:p>
        </w:tc>
        <w:tc>
          <w:tcPr>
            <w:tcW w:type="dxa" w:w="2484"/>
          </w:tcPr>
          <w:p>
            <w:r>
              <w:t>Found KPI focus could become a goal in itself and obscure customer/organizational outcomes.</w:t>
            </w:r>
          </w:p>
        </w:tc>
        <w:tc>
          <w:tcPr>
            <w:tcW w:type="dxa" w:w="2484"/>
          </w:tcPr>
          <w:p>
            <w:r>
              <w:t>Directly supports misconception/system-accountability safeguards.</w:t>
            </w:r>
          </w:p>
        </w:tc>
      </w:tr>
      <w:tr>
        <w:tc>
          <w:tcPr>
            <w:tcW w:type="dxa" w:w="2484"/>
          </w:tcPr>
          <w:p>
            <w:r>
              <w:t>Tate &amp; van der Valk (2008), Journal of Purchasing and Supply Management</w:t>
            </w:r>
          </w:p>
        </w:tc>
        <w:tc>
          <w:tcPr>
            <w:tcW w:type="dxa" w:w="2484"/>
          </w:tcPr>
          <w:p>
            <w:r>
              <w:t>Contact-center case/research</w:t>
            </w:r>
          </w:p>
        </w:tc>
        <w:tc>
          <w:tcPr>
            <w:tcW w:type="dxa" w:w="2484"/>
          </w:tcPr>
          <w:p>
            <w:r>
              <w:t>Argued for balancing effectiveness and efficiency measures in outsourced contact centers.</w:t>
            </w:r>
          </w:p>
        </w:tc>
        <w:tc>
          <w:tcPr>
            <w:tcW w:type="dxa" w:w="2484"/>
          </w:tcPr>
          <w:p>
            <w:r>
              <w:t>Supports balanced KPI interpretation.</w:t>
            </w:r>
          </w:p>
        </w:tc>
      </w:tr>
      <w:tr>
        <w:tc>
          <w:tcPr>
            <w:tcW w:type="dxa" w:w="2484"/>
          </w:tcPr>
          <w:p>
            <w:r>
              <w:t>McAdam et al. (2009), International Journal of Quality &amp; Reliability Management</w:t>
            </w:r>
          </w:p>
        </w:tc>
        <w:tc>
          <w:tcPr>
            <w:tcW w:type="dxa" w:w="2484"/>
          </w:tcPr>
          <w:p>
            <w:r>
              <w:t>Contact-center case research</w:t>
            </w:r>
          </w:p>
        </w:tc>
        <w:tc>
          <w:tcPr>
            <w:tcW w:type="dxa" w:w="2484"/>
          </w:tcPr>
          <w:p>
            <w:r>
              <w:t>Warned that reliance solely on internal measures can create a misleading performance picture.</w:t>
            </w:r>
          </w:p>
        </w:tc>
        <w:tc>
          <w:tcPr>
            <w:tcW w:type="dxa" w:w="2484"/>
          </w:tcPr>
          <w:p>
            <w:r>
              <w:t>Supports business/customer context beyond isolated operational metrics.</w:t>
            </w:r>
          </w:p>
        </w:tc>
      </w:tr>
      <w:tr>
        <w:tc>
          <w:tcPr>
            <w:tcW w:type="dxa" w:w="2484"/>
          </w:tcPr>
          <w:p>
            <w:r>
              <w:t>Speech analytics contact-center longitudinal case (2018), International Journal of Information Management</w:t>
            </w:r>
          </w:p>
        </w:tc>
        <w:tc>
          <w:tcPr>
            <w:tcW w:type="dxa" w:w="2484"/>
          </w:tcPr>
          <w:p>
            <w:r>
              <w:t>Contact-center longitudinal case</w:t>
            </w:r>
          </w:p>
        </w:tc>
        <w:tc>
          <w:tcPr>
            <w:tcW w:type="dxa" w:w="2484"/>
          </w:tcPr>
          <w:p>
            <w:r>
              <w:t>120 customer-service agents over 8 months; used workforce-management and customer-experience KPI categories.</w:t>
            </w:r>
          </w:p>
        </w:tc>
        <w:tc>
          <w:tcPr>
            <w:tcW w:type="dxa" w:w="2484"/>
          </w:tcPr>
          <w:p>
            <w:r>
              <w:t>Supports multidimensional outcomes; does not validate literacy construct.</w:t>
            </w:r>
          </w:p>
        </w:tc>
      </w:tr>
      <w:tr>
        <w:tc>
          <w:tcPr>
            <w:tcW w:type="dxa" w:w="2484"/>
          </w:tcPr>
          <w:p>
            <w:r>
              <w:t>AERA/APA/NCME Standards for Educational and Psychological Testing (2014)</w:t>
            </w:r>
          </w:p>
        </w:tc>
        <w:tc>
          <w:tcPr>
            <w:tcW w:type="dxa" w:w="2484"/>
          </w:tcPr>
          <w:p>
            <w:r>
              <w:t>Measurement authority</w:t>
            </w:r>
          </w:p>
        </w:tc>
        <w:tc>
          <w:tcPr>
            <w:tcW w:type="dxa" w:w="2484"/>
          </w:tcPr>
          <w:p>
            <w:r>
              <w:t>Validity, reliability and fairness are foundational to intended score interpretations and uses.</w:t>
            </w:r>
          </w:p>
        </w:tc>
        <w:tc>
          <w:tcPr>
            <w:tcW w:type="dxa" w:w="2484"/>
          </w:tcPr>
          <w:p>
            <w:r>
              <w:t>Sets validation/fairness standard for any future assessment.</w:t>
            </w:r>
          </w:p>
        </w:tc>
      </w:tr>
      <w:tr>
        <w:tc>
          <w:tcPr>
            <w:tcW w:type="dxa" w:w="2484"/>
          </w:tcPr>
          <w:p>
            <w:r>
              <w:t>CDC/NCHS CCQDER cognitive interviewing guidance (2024)</w:t>
            </w:r>
          </w:p>
        </w:tc>
        <w:tc>
          <w:tcPr>
            <w:tcW w:type="dxa" w:w="2484"/>
          </w:tcPr>
          <w:p>
            <w:r>
              <w:t>Measurement authority</w:t>
            </w:r>
          </w:p>
        </w:tc>
        <w:tc>
          <w:tcPr>
            <w:tcW w:type="dxa" w:w="2484"/>
          </w:tcPr>
          <w:p>
            <w:r>
              <w:t>Cognitive interviewing evaluates how respondents interpret and answer questions and can identify response error.</w:t>
            </w:r>
          </w:p>
        </w:tc>
        <w:tc>
          <w:tcPr>
            <w:tcW w:type="dxa" w:w="2484"/>
          </w:tcPr>
          <w:p>
            <w:r>
              <w:t>Supports pretesting and construct-interpretation checks.</w:t>
            </w:r>
          </w:p>
        </w:tc>
      </w:tr>
    </w:tbl>
    <w:p>
      <w:pPr>
        <w:pStyle w:val="Heading1"/>
      </w:pPr>
      <w:r>
        <w:t>25. Evidence Registry Rules</w:t>
      </w:r>
    </w:p>
    <w:p>
      <w:pPr>
        <w:pStyle w:val="ListBullet"/>
      </w:pPr>
      <w:r>
        <w:t>Record full citation, year, population, setting, sample size, design, measures, outcomes, key result, limitations and relevance to a specific hypothesis.</w:t>
      </w:r>
    </w:p>
    <w:p>
      <w:pPr>
        <w:pStyle w:val="ListBullet"/>
      </w:pPr>
      <w:r>
        <w:t>Do not count duplicate publications, publisher mirrors or secondary summaries as independent evidence.</w:t>
      </w:r>
    </w:p>
    <w:p>
      <w:pPr>
        <w:pStyle w:val="ListBullet"/>
      </w:pPr>
      <w:r>
        <w:t>Distinguish evidence for the measurement METHOD from evidence for the proposed LITERACY CONSTRUCT.</w:t>
      </w:r>
    </w:p>
    <w:p>
      <w:pPr>
        <w:pStyle w:val="ListBullet"/>
      </w:pPr>
      <w:r>
        <w:t>Actively search for null, adverse, contradictory and metric-gaming evidence rather than only supportive evidence.</w:t>
      </w:r>
    </w:p>
    <w:p>
      <w:pPr>
        <w:pStyle w:val="ListBullet"/>
      </w:pPr>
      <w:r>
        <w:t>Do not allow vendor definitions or benchmark articles to establish causal relationships.</w:t>
      </w:r>
    </w:p>
    <w:p>
      <w:pPr>
        <w:pStyle w:val="ListBullet"/>
      </w:pPr>
      <w:r>
        <w:t>Update the registry as evidence changes; preserve excluded sources with exclusion reasons to create an audit trail.</w:t>
      </w:r>
    </w:p>
    <w:p>
      <w:pPr>
        <w:pStyle w:val="ListBullet"/>
      </w:pPr>
      <w:r>
        <w:t>Before confirmatory testing, conduct a structured literature search with documented databases/search engines, terms, date range, inclusion/exclusion criteria and screening decisions.</w:t>
      </w:r>
    </w:p>
    <w:p>
      <w:pPr>
        <w:pStyle w:val="Heading1"/>
      </w:pPr>
      <w:r>
        <w:t>26. Instrument Naming and Release Rule</w:t>
      </w:r>
    </w:p>
    <w:p>
      <w:r>
        <w:t>Until validation is sufficient, all materials will use the neutral label 'Study #003 Experimental Assessment.' Terms such as 'Frontline Operational Literacy Index,' 'readiness score,' 'validated assessment,' or employer-selection instrument are prohibited. A named index requires evidence of content validity, response-process validity, internal structure/reliability where applicable, relations to external variables, fairness, and appropriate intended-use evidence.</w:t>
      </w:r>
    </w:p>
    <w:p>
      <w:pPr>
        <w:pStyle w:val="Heading1"/>
      </w:pPr>
      <w:r>
        <w:t>27. Revised Immediate Implementation Sequence</w:t>
      </w:r>
    </w:p>
    <w:p>
      <w:pPr>
        <w:pStyle w:val="ListNumber"/>
      </w:pPr>
      <w:r>
        <w:t>Expand the Evidence Registry to the 20-source minimum with explicit supportive, contradictory/cautionary, method and contact-center evidence.</w:t>
      </w:r>
    </w:p>
    <w:p>
      <w:pPr>
        <w:pStyle w:val="ListNumber"/>
      </w:pPr>
      <w:r>
        <w:t>Build the construct dictionary for Role, Operational and Business Literacy.</w:t>
      </w:r>
    </w:p>
    <w:p>
      <w:pPr>
        <w:pStyle w:val="ListNumber"/>
      </w:pPr>
      <w:r>
        <w:t>Draft 12–18 scenario items plus a small misconception item bank and teaching/transparency items.</w:t>
      </w:r>
    </w:p>
    <w:p>
      <w:pPr>
        <w:pStyle w:val="ListNumber"/>
      </w:pPr>
      <w:r>
        <w:t>Obtain independent content review from frontline, WFM, operations and L&amp;D subject-matter experts.</w:t>
      </w:r>
    </w:p>
    <w:p>
      <w:pPr>
        <w:pStyle w:val="ListNumber"/>
      </w:pPr>
      <w:r>
        <w:t>If new proprietary or adapted items remain necessary after evidence review, conduct cognitive interviews before broad pilot testing.</w:t>
      </w:r>
    </w:p>
    <w:p>
      <w:pPr>
        <w:pStyle w:val="ListNumber"/>
      </w:pPr>
      <w:r>
        <w:t>Pilot domain scores separately; do not publish a composite index.</w:t>
      </w:r>
    </w:p>
    <w:p>
      <w:pPr>
        <w:pStyle w:val="ListNumber"/>
      </w:pPr>
      <w:r>
        <w:t>Evaluate reliability, dimensionality, validity evidence, fairness and incremental prediction.</w:t>
      </w:r>
    </w:p>
    <w:p>
      <w:pPr>
        <w:pStyle w:val="ListNumber"/>
      </w:pPr>
      <w:r>
        <w:t>Link the assessment to Study #001 outcomes and Study #002 expectation-reality data using a common anonymous participant ID.</w:t>
      </w:r>
    </w:p>
    <w:p>
      <w:pPr>
        <w:pStyle w:val="ListNumber"/>
      </w:pPr>
      <w:r>
        <w:t>Preregister confirmatory hypotheses, primary outcomes, exclusions, covariates and analysis before confirmatory testing.</w:t>
      </w:r>
    </w:p>
    <w:p>
      <w:pPr>
        <w:pStyle w:val="ListNumber"/>
      </w:pPr>
      <w:r>
        <w:t>Replicate across employers/industries before making portable or industry-wide claims.</w:t>
      </w:r>
    </w:p>
    <w:p>
      <w:r>
        <w:br w:type="page"/>
      </w:r>
    </w:p>
    <w:p>
      <w:pPr>
        <w:pStyle w:val="Heading1"/>
      </w:pPr>
      <w:r>
        <w:t>Evidence Sufficiency Amendment — External Evidence First</w:t>
      </w:r>
    </w:p>
    <w:p>
      <w:r>
        <w:t>Research Status: Ongoing. This amendment supersedes any earlier wording that could be read as requiring surveys or interviews by default. ResolveCX will use the strongest credible external evidence and existing datasets first. Original interviews, surveys, employer data, longitudinal collection, or intervention research will be used only when they answer a material question that existing evidence cannot answer with sufficient relevance, quality, recency, population fit, or causal strength.</w:t>
      </w:r>
    </w:p>
    <w:p>
      <w:pPr>
        <w:pStyle w:val="Heading2"/>
      </w:pPr>
      <w:r>
        <w:t>Evidence Sufficiency Decision Framework</w:t>
      </w:r>
    </w:p>
    <w:tbl>
      <w:tblPr>
        <w:tblStyle w:val="TableGrid"/>
        <w:tblW w:type="auto" w:w="0"/>
        <w:jc w:val="center"/>
        <w:tblLook w:firstColumn="1" w:firstRow="1" w:lastColumn="0" w:lastRow="0" w:noHBand="0" w:noVBand="1" w:val="04A0"/>
      </w:tblPr>
      <w:tblGrid>
        <w:gridCol w:w="4968"/>
        <w:gridCol w:w="4968"/>
      </w:tblGrid>
      <w:tr>
        <w:tc>
          <w:tcPr>
            <w:tcW w:type="dxa" w:w="4968"/>
            <w:shd w:fill="0B3A53"/>
          </w:tcPr>
          <w:p>
            <w:r>
              <w:rPr>
                <w:b/>
                <w:color w:val="FFFFFF"/>
                <w:sz w:val="18"/>
              </w:rPr>
              <w:t>Evidence status</w:t>
            </w:r>
          </w:p>
        </w:tc>
        <w:tc>
          <w:tcPr>
            <w:tcW w:type="dxa" w:w="4968"/>
            <w:shd w:fill="0B3A53"/>
          </w:tcPr>
          <w:p>
            <w:r>
              <w:rPr>
                <w:b/>
                <w:color w:val="FFFFFF"/>
                <w:sz w:val="18"/>
              </w:rPr>
              <w:t>Decision rule</w:t>
            </w:r>
          </w:p>
        </w:tc>
      </w:tr>
      <w:tr>
        <w:tc>
          <w:tcPr>
            <w:tcW w:type="dxa" w:w="4968"/>
          </w:tcPr>
          <w:p>
            <w:r>
              <w:rPr>
                <w:sz w:val="17"/>
              </w:rPr>
              <w:t>ESTABLISHED</w:t>
            </w:r>
          </w:p>
        </w:tc>
        <w:tc>
          <w:tcPr>
            <w:tcW w:type="dxa" w:w="4968"/>
          </w:tcPr>
          <w:p>
            <w:r>
              <w:rPr>
                <w:sz w:val="17"/>
              </w:rPr>
              <w:t>Adopt the finding as external evidence. Do not repeat primary research merely to reproduce it.</w:t>
            </w:r>
          </w:p>
        </w:tc>
      </w:tr>
      <w:tr>
        <w:tc>
          <w:tcPr>
            <w:tcW w:type="dxa" w:w="4968"/>
          </w:tcPr>
          <w:p>
            <w:r>
              <w:rPr>
                <w:sz w:val="17"/>
              </w:rPr>
              <w:t>SUPPORTED BUT TRANSFERABILITY UNKNOWN</w:t>
            </w:r>
          </w:p>
        </w:tc>
        <w:tc>
          <w:tcPr>
            <w:tcW w:type="dxa" w:w="4968"/>
          </w:tcPr>
          <w:p>
            <w:r>
              <w:rPr>
                <w:sz w:val="17"/>
              </w:rPr>
              <w:t>Collect only the minimum targeted evidence needed to test applicability to modern contact-center settings.</w:t>
            </w:r>
          </w:p>
        </w:tc>
      </w:tr>
      <w:tr>
        <w:tc>
          <w:tcPr>
            <w:tcW w:type="dxa" w:w="4968"/>
          </w:tcPr>
          <w:p>
            <w:r>
              <w:rPr>
                <w:sz w:val="17"/>
              </w:rPr>
              <w:t>MIXED</w:t>
            </w:r>
          </w:p>
        </w:tc>
        <w:tc>
          <w:tcPr>
            <w:tcW w:type="dxa" w:w="4968"/>
          </w:tcPr>
          <w:p>
            <w:r>
              <w:rPr>
                <w:sz w:val="17"/>
              </w:rPr>
              <w:t>Investigate moderators, contexts, mechanisms, measurement differences, and reasons credible studies disagree.</w:t>
            </w:r>
          </w:p>
        </w:tc>
      </w:tr>
      <w:tr>
        <w:tc>
          <w:tcPr>
            <w:tcW w:type="dxa" w:w="4968"/>
          </w:tcPr>
          <w:p>
            <w:r>
              <w:rPr>
                <w:sz w:val="17"/>
              </w:rPr>
              <w:t>EVIDENCE GAP</w:t>
            </w:r>
          </w:p>
        </w:tc>
        <w:tc>
          <w:tcPr>
            <w:tcW w:type="dxa" w:w="4968"/>
          </w:tcPr>
          <w:p>
            <w:r>
              <w:rPr>
                <w:sz w:val="17"/>
              </w:rPr>
              <w:t>Primary research is justified if the unanswered question is material to ResolveCX.</w:t>
            </w:r>
          </w:p>
        </w:tc>
      </w:tr>
      <w:tr>
        <w:tc>
          <w:tcPr>
            <w:tcW w:type="dxa" w:w="4968"/>
          </w:tcPr>
          <w:p>
            <w:r>
              <w:rPr>
                <w:sz w:val="17"/>
              </w:rPr>
              <w:t>CONTRADICTED</w:t>
            </w:r>
          </w:p>
        </w:tc>
        <w:tc>
          <w:tcPr>
            <w:tcW w:type="dxa" w:w="4968"/>
          </w:tcPr>
          <w:p>
            <w:r>
              <w:rPr>
                <w:sz w:val="17"/>
              </w:rPr>
              <w:t>Revise, narrow, or reject the hypothesis unless a clearly documented context-specific reason justifies further testing.</w:t>
            </w:r>
          </w:p>
        </w:tc>
      </w:tr>
      <w:tr>
        <w:tc>
          <w:tcPr>
            <w:tcW w:type="dxa" w:w="4968"/>
          </w:tcPr>
          <w:p>
            <w:r>
              <w:rPr>
                <w:sz w:val="17"/>
              </w:rPr>
              <w:t>RESOLVECX-SPECIFIC GAP</w:t>
            </w:r>
          </w:p>
        </w:tc>
        <w:tc>
          <w:tcPr>
            <w:tcW w:type="dxa" w:w="4968"/>
          </w:tcPr>
          <w:p>
            <w:r>
              <w:rPr>
                <w:sz w:val="17"/>
              </w:rPr>
              <w:t>General theory may be established, but ResolveCX's proposed preparation, assessment, pathway, or intervention remains untested and requires direct evidence before effectiveness claims.</w:t>
            </w:r>
          </w:p>
        </w:tc>
      </w:tr>
    </w:tbl>
    <w:p>
      <w:pPr>
        <w:pStyle w:val="Heading2"/>
      </w:pPr>
      <w:r>
        <w:t>Hypothesis-Level Evidence Triage</w:t>
      </w:r>
    </w:p>
    <w:tbl>
      <w:tblPr>
        <w:tblStyle w:val="TableGrid"/>
        <w:tblW w:type="auto" w:w="0"/>
        <w:jc w:val="center"/>
        <w:tblLook w:firstColumn="1" w:firstRow="1" w:lastColumn="0" w:lastRow="0" w:noHBand="0" w:noVBand="1" w:val="04A0"/>
      </w:tblPr>
      <w:tblGrid>
        <w:gridCol w:w="3312"/>
        <w:gridCol w:w="3312"/>
        <w:gridCol w:w="3312"/>
      </w:tblGrid>
      <w:tr>
        <w:tc>
          <w:tcPr>
            <w:tcW w:type="dxa" w:w="3312"/>
            <w:shd w:fill="0B3A53"/>
          </w:tcPr>
          <w:p>
            <w:r>
              <w:rPr>
                <w:b/>
                <w:color w:val="FFFFFF"/>
                <w:sz w:val="18"/>
              </w:rPr>
              <w:t>Hypothesis</w:t>
            </w:r>
          </w:p>
        </w:tc>
        <w:tc>
          <w:tcPr>
            <w:tcW w:type="dxa" w:w="3312"/>
            <w:shd w:fill="0B3A53"/>
          </w:tcPr>
          <w:p>
            <w:r>
              <w:rPr>
                <w:b/>
                <w:color w:val="FFFFFF"/>
                <w:sz w:val="18"/>
              </w:rPr>
              <w:t>Current evidence decision</w:t>
            </w:r>
          </w:p>
        </w:tc>
        <w:tc>
          <w:tcPr>
            <w:tcW w:type="dxa" w:w="3312"/>
            <w:shd w:fill="0B3A53"/>
          </w:tcPr>
          <w:p>
            <w:r>
              <w:rPr>
                <w:b/>
                <w:color w:val="FFFFFF"/>
                <w:sz w:val="18"/>
              </w:rPr>
              <w:t>Implication for new data</w:t>
            </w:r>
          </w:p>
        </w:tc>
      </w:tr>
      <w:tr>
        <w:tc>
          <w:tcPr>
            <w:tcW w:type="dxa" w:w="3312"/>
          </w:tcPr>
          <w:p>
            <w:r>
              <w:rPr>
                <w:sz w:val="17"/>
              </w:rPr>
              <w:t>H1 — Literacy and Role Clarity</w:t>
            </w:r>
          </w:p>
        </w:tc>
        <w:tc>
          <w:tcPr>
            <w:tcW w:type="dxa" w:w="3312"/>
          </w:tcPr>
          <w:p>
            <w:r>
              <w:rPr>
                <w:sz w:val="17"/>
              </w:rPr>
              <w:t>EVIDENCE GAP</w:t>
            </w:r>
          </w:p>
        </w:tc>
        <w:tc>
          <w:tcPr>
            <w:tcW w:type="dxa" w:w="3312"/>
          </w:tcPr>
          <w:p>
            <w:r>
              <w:rPr>
                <w:sz w:val="17"/>
              </w:rPr>
              <w:t>Operational concepts are well defined, but the proposed frontline-literacy construct and incremental relationship with role clarity are not established.</w:t>
            </w:r>
          </w:p>
        </w:tc>
      </w:tr>
      <w:tr>
        <w:tc>
          <w:tcPr>
            <w:tcW w:type="dxa" w:w="3312"/>
          </w:tcPr>
          <w:p>
            <w:r>
              <w:rPr>
                <w:sz w:val="17"/>
              </w:rPr>
              <w:t>H2 — Literacy and Decision Quality</w:t>
            </w:r>
          </w:p>
        </w:tc>
        <w:tc>
          <w:tcPr>
            <w:tcW w:type="dxa" w:w="3312"/>
          </w:tcPr>
          <w:p>
            <w:r>
              <w:rPr>
                <w:sz w:val="17"/>
              </w:rPr>
              <w:t>METHOD SUPPORTED / CONSTRUCT UNVALIDATED</w:t>
            </w:r>
          </w:p>
        </w:tc>
        <w:tc>
          <w:tcPr>
            <w:tcW w:type="dxa" w:w="3312"/>
          </w:tcPr>
          <w:p>
            <w:r>
              <w:rPr>
                <w:sz w:val="17"/>
              </w:rPr>
              <w:t>Scenario-based assessment has strong methodological precedent; the specific contact-center construct still requires validation.</w:t>
            </w:r>
          </w:p>
        </w:tc>
      </w:tr>
      <w:tr>
        <w:tc>
          <w:tcPr>
            <w:tcW w:type="dxa" w:w="3312"/>
          </w:tcPr>
          <w:p>
            <w:r>
              <w:rPr>
                <w:sz w:val="17"/>
              </w:rPr>
              <w:t>H3 — Meaning and Engagement</w:t>
            </w:r>
          </w:p>
        </w:tc>
        <w:tc>
          <w:tcPr>
            <w:tcW w:type="dxa" w:w="3312"/>
          </w:tcPr>
          <w:p>
            <w:r>
              <w:rPr>
                <w:sz w:val="17"/>
              </w:rPr>
              <w:t>MIXED / TARGETED TEST</w:t>
            </w:r>
          </w:p>
        </w:tc>
        <w:tc>
          <w:tcPr>
            <w:tcW w:type="dxa" w:w="3312"/>
          </w:tcPr>
          <w:p>
            <w:r>
              <w:rPr>
                <w:sz w:val="17"/>
              </w:rPr>
              <w:t>Performance-measurement research supports behavioral consequences but not a simple causal literacy-to-engagement pathway.</w:t>
            </w:r>
          </w:p>
        </w:tc>
      </w:tr>
      <w:tr>
        <w:tc>
          <w:tcPr>
            <w:tcW w:type="dxa" w:w="3312"/>
          </w:tcPr>
          <w:p>
            <w:r>
              <w:rPr>
                <w:sz w:val="17"/>
              </w:rPr>
              <w:t>H4 — Metric Interpretation</w:t>
            </w:r>
          </w:p>
        </w:tc>
        <w:tc>
          <w:tcPr>
            <w:tcW w:type="dxa" w:w="3312"/>
          </w:tcPr>
          <w:p>
            <w:r>
              <w:rPr>
                <w:sz w:val="17"/>
              </w:rPr>
              <w:t>RESOLVECX-SPECIFIC GAP</w:t>
            </w:r>
          </w:p>
        </w:tc>
        <w:tc>
          <w:tcPr>
            <w:tcW w:type="dxa" w:w="3312"/>
          </w:tcPr>
          <w:p>
            <w:r>
              <w:rPr>
                <w:sz w:val="17"/>
              </w:rPr>
              <w:t>The ability to distinguish individual influence from queue/team/system outcomes is strategically important but requires original construct evidence.</w:t>
            </w:r>
          </w:p>
        </w:tc>
      </w:tr>
      <w:tr>
        <w:tc>
          <w:tcPr>
            <w:tcW w:type="dxa" w:w="3312"/>
          </w:tcPr>
          <w:p>
            <w:r>
              <w:rPr>
                <w:sz w:val="17"/>
              </w:rPr>
              <w:t>H5 — Supervisor Translation</w:t>
            </w:r>
          </w:p>
        </w:tc>
        <w:tc>
          <w:tcPr>
            <w:tcW w:type="dxa" w:w="3312"/>
          </w:tcPr>
          <w:p>
            <w:r>
              <w:rPr>
                <w:sz w:val="17"/>
              </w:rPr>
              <w:t>SUPPORTED BUT OVERLAPS STUDY #004</w:t>
            </w:r>
          </w:p>
        </w:tc>
        <w:tc>
          <w:tcPr>
            <w:tcW w:type="dxa" w:w="3312"/>
          </w:tcPr>
          <w:p>
            <w:r>
              <w:rPr>
                <w:sz w:val="17"/>
              </w:rPr>
              <w:t>Leadership/feedback evidence supports supervisor influence. Collect new data only where it adds to Study #004 rather than duplicating it.</w:t>
            </w:r>
          </w:p>
        </w:tc>
      </w:tr>
      <w:tr>
        <w:tc>
          <w:tcPr>
            <w:tcW w:type="dxa" w:w="3312"/>
          </w:tcPr>
          <w:p>
            <w:r>
              <w:rPr>
                <w:sz w:val="17"/>
              </w:rPr>
              <w:t>H6 — Experience Is Not Equivalent to Literacy</w:t>
            </w:r>
          </w:p>
        </w:tc>
        <w:tc>
          <w:tcPr>
            <w:tcW w:type="dxa" w:w="3312"/>
          </w:tcPr>
          <w:p>
            <w:r>
              <w:rPr>
                <w:sz w:val="17"/>
              </w:rPr>
              <w:t>EVIDENCE GAP</w:t>
            </w:r>
          </w:p>
        </w:tc>
        <w:tc>
          <w:tcPr>
            <w:tcW w:type="dxa" w:w="3312"/>
          </w:tcPr>
          <w:p>
            <w:r>
              <w:rPr>
                <w:sz w:val="17"/>
              </w:rPr>
              <w:t>Requires empirical comparison of tenure/experience with demonstrated scenario performance.</w:t>
            </w:r>
          </w:p>
        </w:tc>
      </w:tr>
      <w:tr>
        <w:tc>
          <w:tcPr>
            <w:tcW w:type="dxa" w:w="3312"/>
          </w:tcPr>
          <w:p>
            <w:r>
              <w:rPr>
                <w:sz w:val="17"/>
              </w:rPr>
              <w:t>H7 — Literacy Has Bounded Value</w:t>
            </w:r>
          </w:p>
        </w:tc>
        <w:tc>
          <w:tcPr>
            <w:tcW w:type="dxa" w:w="3312"/>
          </w:tcPr>
          <w:p>
            <w:r>
              <w:rPr>
                <w:sz w:val="17"/>
              </w:rPr>
              <w:t>SUPPORTED / FALSIFICATION PRIORITY</w:t>
            </w:r>
          </w:p>
        </w:tc>
        <w:tc>
          <w:tcPr>
            <w:tcW w:type="dxa" w:w="3312"/>
          </w:tcPr>
          <w:p>
            <w:r>
              <w:rPr>
                <w:sz w:val="17"/>
              </w:rPr>
              <w:t>Existing performance-system research supports structural constraints and metric tradeoffs; test whether literacy adds anything beyond them.</w:t>
            </w:r>
          </w:p>
        </w:tc>
      </w:tr>
    </w:tbl>
    <w:p>
      <w:pPr>
        <w:pStyle w:val="Heading2"/>
      </w:pPr>
      <w:r>
        <w:t>Primary Data Trigger Rules</w:t>
      </w:r>
    </w:p>
    <w:p>
      <w:pPr>
        <w:pStyle w:val="ListBullet"/>
      </w:pPr>
      <w:r>
        <w:t>Do not collect interviews or surveys simply because they were listed in an earlier protocol version.</w:t>
      </w:r>
    </w:p>
    <w:p>
      <w:pPr>
        <w:pStyle w:val="ListBullet"/>
      </w:pPr>
      <w:r>
        <w:t>Before new data collection, document the exact unresolved question and why external evidence, public datasets, existing employer records, or validated measures cannot answer it sufficiently.</w:t>
      </w:r>
    </w:p>
    <w:p>
      <w:pPr>
        <w:pStyle w:val="ListBullet"/>
      </w:pPr>
      <w:r>
        <w:t>Prefer secondary analysis and de-identified employer operational data over self-report when they answer the question more directly.</w:t>
      </w:r>
    </w:p>
    <w:p>
      <w:pPr>
        <w:pStyle w:val="ListBullet"/>
      </w:pPr>
      <w:r>
        <w:t>Use interviews primarily for mechanisms, lived context, language, unexpected explanations, implementation detail, and construct discovery—not to re-prove mature general relationships.</w:t>
      </w:r>
    </w:p>
    <w:p>
      <w:pPr>
        <w:pStyle w:val="ListBullet"/>
      </w:pPr>
      <w:r>
        <w:t>Use surveys when a defined construct, prevalence estimate, comparison, moderator, or prediction cannot be answered adequately from existing evidence.</w:t>
      </w:r>
    </w:p>
    <w:p>
      <w:pPr>
        <w:pStyle w:val="ListBullet"/>
      </w:pPr>
      <w:r>
        <w:t>Use longitudinal data when temporal ordering or prediction matters. Use intervention/comparison designs when the claim concerns ResolveCX effectiveness.</w:t>
      </w:r>
    </w:p>
    <w:p>
      <w:pPr>
        <w:pStyle w:val="ListBullet"/>
      </w:pPr>
      <w:r>
        <w:t>Stop or narrow data collection when new evidence makes a question immaterial, redundant, or already sufficiently answered.</w:t>
      </w:r>
    </w:p>
    <w:p>
      <w:pPr>
        <w:pStyle w:val="ListBullet"/>
      </w:pPr>
      <w:r>
        <w:t>Preserve negative, null, adverse, and contradictory evidence in the same registry as supportive evidence.</w:t>
      </w:r>
    </w:p>
    <w:p>
      <w:pPr>
        <w:pStyle w:val="Heading2"/>
      </w:pPr>
      <w:r>
        <w:t>ResolveCX Proof Boundary</w:t>
      </w:r>
    </w:p>
    <w:p>
      <w:r>
        <w:t>External research may establish that a problem, construct, mechanism, or relationship exists. It cannot by itself establish that a ResolveCX intervention causes better outcomes. Claims that ResolveCX preparation improves proficiency, adaptation, retention, customer outcomes, career progression, or economic value require direct evaluation of the ResolveCX intervention using a design strong enough for the claim.</w:t>
      </w:r>
    </w:p>
    <w:p>
      <w:pPr>
        <w:pStyle w:val="Heading2"/>
      </w:pPr>
      <w:r>
        <w:t>Decision Record Required Before Any New Survey or Interview</w:t>
      </w:r>
    </w:p>
    <w:tbl>
      <w:tblPr>
        <w:tblStyle w:val="TableGrid"/>
        <w:tblW w:type="auto" w:w="0"/>
        <w:jc w:val="center"/>
        <w:tblLook w:firstColumn="1" w:firstRow="1" w:lastColumn="0" w:lastRow="0" w:noHBand="0" w:noVBand="1" w:val="04A0"/>
      </w:tblPr>
      <w:tblGrid>
        <w:gridCol w:w="4968"/>
        <w:gridCol w:w="4968"/>
      </w:tblGrid>
      <w:tr>
        <w:tc>
          <w:tcPr>
            <w:tcW w:type="dxa" w:w="4968"/>
            <w:shd w:fill="0B3A53"/>
          </w:tcPr>
          <w:p>
            <w:r>
              <w:rPr>
                <w:b/>
                <w:color w:val="FFFFFF"/>
                <w:sz w:val="18"/>
              </w:rPr>
              <w:t>Field</w:t>
            </w:r>
          </w:p>
        </w:tc>
        <w:tc>
          <w:tcPr>
            <w:tcW w:type="dxa" w:w="4968"/>
            <w:shd w:fill="0B3A53"/>
          </w:tcPr>
          <w:p>
            <w:r>
              <w:rPr>
                <w:b/>
                <w:color w:val="FFFFFF"/>
                <w:sz w:val="18"/>
              </w:rPr>
              <w:t>Required entry</w:t>
            </w:r>
          </w:p>
        </w:tc>
      </w:tr>
      <w:tr>
        <w:tc>
          <w:tcPr>
            <w:tcW w:type="dxa" w:w="4968"/>
          </w:tcPr>
          <w:p>
            <w:r>
              <w:rPr>
                <w:sz w:val="17"/>
              </w:rPr>
              <w:t>Unresolved question</w:t>
            </w:r>
          </w:p>
        </w:tc>
        <w:tc>
          <w:tcPr>
            <w:tcW w:type="dxa" w:w="4968"/>
          </w:tcPr>
          <w:p>
            <w:r>
              <w:rPr>
                <w:sz w:val="17"/>
              </w:rPr>
              <w:t>Exactly what remains unknown?</w:t>
            </w:r>
          </w:p>
        </w:tc>
      </w:tr>
      <w:tr>
        <w:tc>
          <w:tcPr>
            <w:tcW w:type="dxa" w:w="4968"/>
          </w:tcPr>
          <w:p>
            <w:r>
              <w:rPr>
                <w:sz w:val="17"/>
              </w:rPr>
              <w:t>Existing evidence reviewed</w:t>
            </w:r>
          </w:p>
        </w:tc>
        <w:tc>
          <w:tcPr>
            <w:tcW w:type="dxa" w:w="4968"/>
          </w:tcPr>
          <w:p>
            <w:r>
              <w:rPr>
                <w:sz w:val="17"/>
              </w:rPr>
              <w:t>What high-quality evidence already addresses it?</w:t>
            </w:r>
          </w:p>
        </w:tc>
      </w:tr>
      <w:tr>
        <w:tc>
          <w:tcPr>
            <w:tcW w:type="dxa" w:w="4968"/>
          </w:tcPr>
          <w:p>
            <w:r>
              <w:rPr>
                <w:sz w:val="17"/>
              </w:rPr>
              <w:t>Why insufficient</w:t>
            </w:r>
          </w:p>
        </w:tc>
        <w:tc>
          <w:tcPr>
            <w:tcW w:type="dxa" w:w="4968"/>
          </w:tcPr>
          <w:p>
            <w:r>
              <w:rPr>
                <w:sz w:val="17"/>
              </w:rPr>
              <w:t>Population, context, construct, recency, outcome, method, or causal limitation.</w:t>
            </w:r>
          </w:p>
        </w:tc>
      </w:tr>
      <w:tr>
        <w:tc>
          <w:tcPr>
            <w:tcW w:type="dxa" w:w="4968"/>
          </w:tcPr>
          <w:p>
            <w:r>
              <w:rPr>
                <w:sz w:val="17"/>
              </w:rPr>
              <w:t>Best next evidence source</w:t>
            </w:r>
          </w:p>
        </w:tc>
        <w:tc>
          <w:tcPr>
            <w:tcW w:type="dxa" w:w="4968"/>
          </w:tcPr>
          <w:p>
            <w:r>
              <w:rPr>
                <w:sz w:val="17"/>
              </w:rPr>
              <w:t>External dataset, employer data, interview, survey, longitudinal panel, intervention, or no further collection.</w:t>
            </w:r>
          </w:p>
        </w:tc>
      </w:tr>
      <w:tr>
        <w:tc>
          <w:tcPr>
            <w:tcW w:type="dxa" w:w="4968"/>
          </w:tcPr>
          <w:p>
            <w:r>
              <w:rPr>
                <w:sz w:val="17"/>
              </w:rPr>
              <w:t>Decision value</w:t>
            </w:r>
          </w:p>
        </w:tc>
        <w:tc>
          <w:tcPr>
            <w:tcW w:type="dxa" w:w="4968"/>
          </w:tcPr>
          <w:p>
            <w:r>
              <w:rPr>
                <w:sz w:val="17"/>
              </w:rPr>
              <w:t>What decision will this evidence change for ResolveCX?</w:t>
            </w:r>
          </w:p>
        </w:tc>
      </w:tr>
      <w:tr>
        <w:tc>
          <w:tcPr>
            <w:tcW w:type="dxa" w:w="4968"/>
          </w:tcPr>
          <w:p>
            <w:r>
              <w:rPr>
                <w:sz w:val="17"/>
              </w:rPr>
              <w:t>Stop rule</w:t>
            </w:r>
          </w:p>
        </w:tc>
        <w:tc>
          <w:tcPr>
            <w:tcW w:type="dxa" w:w="4968"/>
          </w:tcPr>
          <w:p>
            <w:r>
              <w:rPr>
                <w:sz w:val="17"/>
              </w:rPr>
              <w:t>What result would make further collection unnecessary?</w:t>
            </w:r>
          </w:p>
        </w:tc>
      </w:tr>
    </w:tbl>
    <w:p>
      <w:pPr>
        <w:pStyle w:val="Heading2"/>
      </w:pPr>
      <w:r>
        <w:t>Publication Language</w:t>
      </w:r>
    </w:p>
    <w:p>
      <w:r>
        <w:t>This study may be introduced publicly as Ongoing Research. Public materials must distinguish: (1) what external evidence already establishes; (2) what ResolveCX currently hypothesizes; (3) what remains unresolved; (4) what original data, if any, are being collected; and (5) the current finding status. Preliminary observations must not be presented as representative or validated findings.</w:t>
      </w:r>
    </w:p>
    <w:p>
      <w:pPr>
        <w:pStyle w:val="Heading2"/>
      </w:pPr>
      <w:r>
        <w:t>Research Quality and Release Standard</w:t>
      </w:r>
    </w:p>
    <w:p>
      <w:r>
        <w:t>Evidence sufficiency—not a predetermined number of interviews, survey responses, or citations—governs research decisions. Source-count targets remain evidence-development milestones, not publication prerequisites. Quality, independence, design strength, construct relevance, population fit, contradictory evidence, and decision usefulness take precedence over volume.</w:t>
      </w:r>
    </w:p>
    <w:sectPr w:rsidR="00FC693F" w:rsidRPr="0006063C" w:rsidSect="00034616">
      <w:headerReference w:type="default" r:id="rId9"/>
      <w:footerReference w:type="default" r:id="rId10"/>
      <w:pgSz w:w="12240" w:h="15840"/>
      <w:pgMar w:top="1008" w:right="1152" w:bottom="1008"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t>Research Protocol v1.2  •  Discovery / Instrument-Development Draft  •  August 2026</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r>
      <w:rPr>
        <w:sz w:val="17"/>
      </w:rPr>
      <w:t>ResolveCX Research Series  |  Study #003</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ptos" w:hAnsi="Aptos"/>
      <w:b/>
      <w:bCs/>
      <w:color w:val="0B3A53"/>
      <w:sz w:val="32"/>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ptos" w:hAnsi="Aptos"/>
      <w:b/>
      <w:bCs/>
      <w:color w:val="00678E"/>
      <w:sz w:val="25"/>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ptos" w:hAnsi="Aptos"/>
      <w:b/>
      <w:color w:val="17365D" w:themeColor="text2" w:themeShade="BF"/>
      <w:spacing w:val="5"/>
      <w:kern w:val="28"/>
      <w:sz w:val="5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