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00678E"/>
          <w:sz w:val="24"/>
        </w:rPr>
        <w:t>ResolveCX Research Series</w:t>
      </w:r>
    </w:p>
    <w:p>
      <w:pPr>
        <w:pStyle w:val="Title"/>
        <w:jc w:val="center"/>
      </w:pPr>
      <w:r>
        <w:t>Study #004: The Supervisor Effect Study</w:t>
      </w:r>
    </w:p>
    <w:p>
      <w:pPr>
        <w:jc w:val="center"/>
      </w:pPr>
      <w:r>
        <w:rPr>
          <w:i/>
          <w:sz w:val="26"/>
        </w:rPr>
        <w:t>How much does the immediate supervisor influence frontline adjustment, performance, sustainability, and retention—and under what conditions?</w:t>
      </w:r>
    </w:p>
    <w:p>
      <w:pPr>
        <w:pStyle w:val="Heading1"/>
      </w:pPr>
      <w:r>
        <w:t>1. Research Integrity Statement</w:t>
      </w:r>
    </w:p>
    <w:p>
      <w:r>
        <w:t>Study #004 will test the contribution of the immediate supervisor without assuming that supervisors are the primary cause of frontline success or failure. Supervisor effects will be separated, as far as the data allow, from staffing, compensation, schedules, technology, job design, training quality, organizational policy, team composition, employee characteristics, and broader leadership. The study will report null, adverse, contradictory, and context-dependent findings with the same transparency as supportive findings.</w:t>
      </w:r>
    </w:p>
    <w:p>
      <w:pPr>
        <w:pStyle w:val="Heading1"/>
      </w:pPr>
      <w:r>
        <w:t>2. Central Research Question</w:t>
      </w:r>
    </w:p>
    <w:p>
      <w:r>
        <w:rPr>
          <w:b/>
        </w:rPr>
        <w:t>Among frontline contact-center employees, how much incremental variance in adjustment, trust, performance, well-being, withdrawal, and retention is associated with the immediate supervisor after employee, team, job, employer, and operating-context factors are considered?</w:t>
      </w:r>
    </w:p>
    <w:p>
      <w:r>
        <w:t>Secondary questions: Which supervisor behaviors matter most? When do they matter most? Which outcomes are actually within a supervisor's influence? What organizational conditions enable or constrain effective supervision?</w:t>
      </w:r>
    </w:p>
    <w:p>
      <w:pPr>
        <w:pStyle w:val="Heading1"/>
      </w:pPr>
      <w:r>
        <w:t>3. Position in the ResolveCX Research Program</w:t>
      </w:r>
    </w:p>
    <w:tbl>
      <w:tblPr>
        <w:tblStyle w:val="TableGrid"/>
        <w:tblW w:type="auto" w:w="0"/>
        <w:jc w:val="center"/>
        <w:tblLook w:firstColumn="1" w:firstRow="1" w:lastColumn="0" w:lastRow="0" w:noHBand="0" w:noVBand="1" w:val="04A0"/>
      </w:tblPr>
      <w:tblGrid>
        <w:gridCol w:w="3312"/>
        <w:gridCol w:w="3312"/>
        <w:gridCol w:w="3312"/>
      </w:tblGrid>
      <w:tr>
        <w:tc>
          <w:tcPr>
            <w:tcW w:type="dxa" w:w="3312"/>
            <w:shd w:fill="0B3A53"/>
          </w:tcPr>
          <w:p>
            <w:r>
              <w:rPr>
                <w:b/>
                <w:color w:val="FFFFFF"/>
              </w:rPr>
              <w:t>Study</w:t>
            </w:r>
          </w:p>
        </w:tc>
        <w:tc>
          <w:tcPr>
            <w:tcW w:type="dxa" w:w="3312"/>
            <w:shd w:fill="0B3A53"/>
          </w:tcPr>
          <w:p>
            <w:r>
              <w:rPr>
                <w:b/>
                <w:color w:val="FFFFFF"/>
              </w:rPr>
              <w:t>Primary Question</w:t>
            </w:r>
          </w:p>
        </w:tc>
        <w:tc>
          <w:tcPr>
            <w:tcW w:type="dxa" w:w="3312"/>
            <w:shd w:fill="0B3A53"/>
          </w:tcPr>
          <w:p>
            <w:r>
              <w:rPr>
                <w:b/>
                <w:color w:val="FFFFFF"/>
              </w:rPr>
              <w:t>Program Role</w:t>
            </w:r>
          </w:p>
        </w:tc>
      </w:tr>
      <w:tr>
        <w:tc>
          <w:tcPr>
            <w:tcW w:type="dxa" w:w="3312"/>
          </w:tcPr>
          <w:p>
            <w:r>
              <w:t>#001 — New-Hire Survival</w:t>
            </w:r>
          </w:p>
        </w:tc>
        <w:tc>
          <w:tcPr>
            <w:tcW w:type="dxa" w:w="3312"/>
          </w:tcPr>
          <w:p>
            <w:r>
              <w:t>Who succeeds, struggles, disengages, or exits?</w:t>
            </w:r>
          </w:p>
        </w:tc>
        <w:tc>
          <w:tcPr>
            <w:tcW w:type="dxa" w:w="3312"/>
          </w:tcPr>
          <w:p>
            <w:r>
              <w:t>Outcome architecture</w:t>
            </w:r>
          </w:p>
        </w:tc>
      </w:tr>
      <w:tr>
        <w:tc>
          <w:tcPr>
            <w:tcW w:type="dxa" w:w="3312"/>
          </w:tcPr>
          <w:p>
            <w:r>
              <w:t>#002 — Job Reality Gap</w:t>
            </w:r>
          </w:p>
        </w:tc>
        <w:tc>
          <w:tcPr>
            <w:tcW w:type="dxa" w:w="3312"/>
          </w:tcPr>
          <w:p>
            <w:r>
              <w:t>Where do expectations and experienced reality diverge?</w:t>
            </w:r>
          </w:p>
        </w:tc>
        <w:tc>
          <w:tcPr>
            <w:tcW w:type="dxa" w:w="3312"/>
          </w:tcPr>
          <w:p>
            <w:r>
              <w:t>Transition mechanism</w:t>
            </w:r>
          </w:p>
        </w:tc>
      </w:tr>
      <w:tr>
        <w:tc>
          <w:tcPr>
            <w:tcW w:type="dxa" w:w="3312"/>
          </w:tcPr>
          <w:p>
            <w:r>
              <w:t>#003 — KPI &amp; Business Literacy</w:t>
            </w:r>
          </w:p>
        </w:tc>
        <w:tc>
          <w:tcPr>
            <w:tcW w:type="dxa" w:w="3312"/>
          </w:tcPr>
          <w:p>
            <w:r>
              <w:t>What operating-system understanding matters?</w:t>
            </w:r>
          </w:p>
        </w:tc>
        <w:tc>
          <w:tcPr>
            <w:tcW w:type="dxa" w:w="3312"/>
          </w:tcPr>
          <w:p>
            <w:r>
              <w:t>Knowledge / judgment</w:t>
            </w:r>
          </w:p>
        </w:tc>
      </w:tr>
      <w:tr>
        <w:tc>
          <w:tcPr>
            <w:tcW w:type="dxa" w:w="3312"/>
          </w:tcPr>
          <w:p>
            <w:r>
              <w:t>#004 — Supervisor Effect</w:t>
            </w:r>
          </w:p>
        </w:tc>
        <w:tc>
          <w:tcPr>
            <w:tcW w:type="dxa" w:w="3312"/>
          </w:tcPr>
          <w:p>
            <w:r>
              <w:t>What incremental difference does the immediate leader make?</w:t>
            </w:r>
          </w:p>
        </w:tc>
        <w:tc>
          <w:tcPr>
            <w:tcW w:type="dxa" w:w="3312"/>
          </w:tcPr>
          <w:p>
            <w:r>
              <w:t>Leadership environment</w:t>
            </w:r>
          </w:p>
        </w:tc>
      </w:tr>
    </w:tbl>
    <w:p>
      <w:pPr>
        <w:pStyle w:val="Heading1"/>
      </w:pPr>
      <w:r>
        <w:t>4. What 'Supervisor Effect' Means</w:t>
      </w:r>
    </w:p>
    <w:p>
      <w:r>
        <w:t>The study will not treat supervisor quality as one vague score. It will distinguish relationship quality, coaching/feedback environment, role clarity, support, fairness, psychological safety, accountability, recognition, development, escalation support, and translation of organizational change. Constructs will remain separate unless empirical evidence supports combination.</w:t>
      </w:r>
    </w:p>
    <w:tbl>
      <w:tblPr>
        <w:tblStyle w:val="TableGrid"/>
        <w:tblW w:type="auto" w:w="0"/>
        <w:jc w:val="center"/>
        <w:tblLook w:firstColumn="1" w:firstRow="1" w:lastColumn="0" w:lastRow="0" w:noHBand="0" w:noVBand="1" w:val="04A0"/>
      </w:tblPr>
      <w:tblGrid>
        <w:gridCol w:w="4968"/>
        <w:gridCol w:w="4968"/>
      </w:tblGrid>
      <w:tr>
        <w:tc>
          <w:tcPr>
            <w:tcW w:type="dxa" w:w="4968"/>
            <w:shd w:fill="0B3A53"/>
          </w:tcPr>
          <w:p>
            <w:r>
              <w:rPr>
                <w:b/>
                <w:color w:val="FFFFFF"/>
              </w:rPr>
              <w:t>Domain</w:t>
            </w:r>
          </w:p>
        </w:tc>
        <w:tc>
          <w:tcPr>
            <w:tcW w:type="dxa" w:w="4968"/>
            <w:shd w:fill="0B3A53"/>
          </w:tcPr>
          <w:p>
            <w:r>
              <w:rPr>
                <w:b/>
                <w:color w:val="FFFFFF"/>
              </w:rPr>
              <w:t>Core Question</w:t>
            </w:r>
          </w:p>
        </w:tc>
      </w:tr>
      <w:tr>
        <w:tc>
          <w:tcPr>
            <w:tcW w:type="dxa" w:w="4968"/>
          </w:tcPr>
          <w:p>
            <w:r>
              <w:t>Relationship quality / trust</w:t>
            </w:r>
          </w:p>
        </w:tc>
        <w:tc>
          <w:tcPr>
            <w:tcW w:type="dxa" w:w="4968"/>
          </w:tcPr>
          <w:p>
            <w:r>
              <w:t>Does the employee experience a credible, respectful, dependable working relationship?</w:t>
            </w:r>
          </w:p>
        </w:tc>
      </w:tr>
      <w:tr>
        <w:tc>
          <w:tcPr>
            <w:tcW w:type="dxa" w:w="4968"/>
          </w:tcPr>
          <w:p>
            <w:r>
              <w:t>Coaching &amp; feedback</w:t>
            </w:r>
          </w:p>
        </w:tc>
        <w:tc>
          <w:tcPr>
            <w:tcW w:type="dxa" w:w="4968"/>
          </w:tcPr>
          <w:p>
            <w:r>
              <w:t>Is feedback timely, useful, behavior-specific, and actionable?</w:t>
            </w:r>
          </w:p>
        </w:tc>
      </w:tr>
      <w:tr>
        <w:tc>
          <w:tcPr>
            <w:tcW w:type="dxa" w:w="4968"/>
          </w:tcPr>
          <w:p>
            <w:r>
              <w:t>Role clarity</w:t>
            </w:r>
          </w:p>
        </w:tc>
        <w:tc>
          <w:tcPr>
            <w:tcW w:type="dxa" w:w="4968"/>
          </w:tcPr>
          <w:p>
            <w:r>
              <w:t>Does the supervisor translate expectations into understandable priorities and behaviors?</w:t>
            </w:r>
          </w:p>
        </w:tc>
      </w:tr>
      <w:tr>
        <w:tc>
          <w:tcPr>
            <w:tcW w:type="dxa" w:w="4968"/>
          </w:tcPr>
          <w:p>
            <w:r>
              <w:t>Support &amp; accessibility</w:t>
            </w:r>
          </w:p>
        </w:tc>
        <w:tc>
          <w:tcPr>
            <w:tcW w:type="dxa" w:w="4968"/>
          </w:tcPr>
          <w:p>
            <w:r>
              <w:t>Can the employee obtain appropriate help, escalation, and resources?</w:t>
            </w:r>
          </w:p>
        </w:tc>
      </w:tr>
      <w:tr>
        <w:tc>
          <w:tcPr>
            <w:tcW w:type="dxa" w:w="4968"/>
          </w:tcPr>
          <w:p>
            <w:r>
              <w:t>Fairness &amp; consistency</w:t>
            </w:r>
          </w:p>
        </w:tc>
        <w:tc>
          <w:tcPr>
            <w:tcW w:type="dxa" w:w="4968"/>
          </w:tcPr>
          <w:p>
            <w:r>
              <w:t>Are standards and decisions experienced as consistent and explainable?</w:t>
            </w:r>
          </w:p>
        </w:tc>
      </w:tr>
      <w:tr>
        <w:tc>
          <w:tcPr>
            <w:tcW w:type="dxa" w:w="4968"/>
          </w:tcPr>
          <w:p>
            <w:r>
              <w:t>Psychological safety</w:t>
            </w:r>
          </w:p>
        </w:tc>
        <w:tc>
          <w:tcPr>
            <w:tcW w:type="dxa" w:w="4968"/>
          </w:tcPr>
          <w:p>
            <w:r>
              <w:t>Can employees ask, admit uncertainty, raise risks, and learn without inappropriate interpersonal penalty?</w:t>
            </w:r>
          </w:p>
        </w:tc>
      </w:tr>
      <w:tr>
        <w:tc>
          <w:tcPr>
            <w:tcW w:type="dxa" w:w="4968"/>
          </w:tcPr>
          <w:p>
            <w:r>
              <w:t>Accountability</w:t>
            </w:r>
          </w:p>
        </w:tc>
        <w:tc>
          <w:tcPr>
            <w:tcW w:type="dxa" w:w="4968"/>
          </w:tcPr>
          <w:p>
            <w:r>
              <w:t>Are expectations clear and followed through without confusing accountability with punishment?</w:t>
            </w:r>
          </w:p>
        </w:tc>
      </w:tr>
      <w:tr>
        <w:tc>
          <w:tcPr>
            <w:tcW w:type="dxa" w:w="4968"/>
          </w:tcPr>
          <w:p>
            <w:r>
              <w:t>Recognition &amp; development</w:t>
            </w:r>
          </w:p>
        </w:tc>
        <w:tc>
          <w:tcPr>
            <w:tcW w:type="dxa" w:w="4968"/>
          </w:tcPr>
          <w:p>
            <w:r>
              <w:t>Does the supervisor notice contribution and support growth?</w:t>
            </w:r>
          </w:p>
        </w:tc>
      </w:tr>
      <w:tr>
        <w:tc>
          <w:tcPr>
            <w:tcW w:type="dxa" w:w="4968"/>
          </w:tcPr>
          <w:p>
            <w:r>
              <w:t>Change translation</w:t>
            </w:r>
          </w:p>
        </w:tc>
        <w:tc>
          <w:tcPr>
            <w:tcW w:type="dxa" w:w="4968"/>
          </w:tcPr>
          <w:p>
            <w:r>
              <w:t>Does the supervisor help employees understand and adapt to changing processes, tools, and priorities?</w:t>
            </w:r>
          </w:p>
        </w:tc>
      </w:tr>
      <w:tr>
        <w:tc>
          <w:tcPr>
            <w:tcW w:type="dxa" w:w="4968"/>
          </w:tcPr>
          <w:p>
            <w:r>
              <w:t>Boundary management</w:t>
            </w:r>
          </w:p>
        </w:tc>
        <w:tc>
          <w:tcPr>
            <w:tcW w:type="dxa" w:w="4968"/>
          </w:tcPr>
          <w:p>
            <w:r>
              <w:t>Does the supervisor identify system problems rather than assigning all outcomes to individual effort?</w:t>
            </w:r>
          </w:p>
        </w:tc>
      </w:tr>
    </w:tbl>
    <w:p>
      <w:pPr>
        <w:pStyle w:val="Heading1"/>
      </w:pPr>
      <w:r>
        <w:t>5. Hypotheses</w:t>
      </w:r>
    </w:p>
    <w:p>
      <w:r>
        <w:rPr>
          <w:b/>
        </w:rPr>
        <w:t>H1 — Relationship Quality</w:t>
      </w:r>
      <w:r>
        <w:t>: Higher-quality supervisor–employee relationships will be associated with stronger adjustment, satisfaction, trust, and performance.</w:t>
      </w:r>
    </w:p>
    <w:p>
      <w:r>
        <w:rPr>
          <w:b/>
        </w:rPr>
        <w:t>H2 — Feedback Environment</w:t>
      </w:r>
      <w:r>
        <w:t>: A stronger day-to-day feedback environment will be associated with better performance and lower burnout/withdrawal.</w:t>
      </w:r>
    </w:p>
    <w:p>
      <w:r>
        <w:rPr>
          <w:b/>
        </w:rPr>
        <w:t>H3 — Early-Transition Effect</w:t>
      </w:r>
      <w:r>
        <w:t>: Supervisor effects will be strongest during training-to-production and the first 90 days, when role ambiguity and support needs are high.</w:t>
      </w:r>
    </w:p>
    <w:p>
      <w:r>
        <w:rPr>
          <w:b/>
        </w:rPr>
        <w:t>H4 — Trust as Mechanism</w:t>
      </w:r>
      <w:r>
        <w:t>: Trust in the immediate leader will partially explain relationships between supervisor quality and selected employee outcomes.</w:t>
      </w:r>
    </w:p>
    <w:p>
      <w:r>
        <w:rPr>
          <w:b/>
        </w:rPr>
        <w:t>H5 — Coaching Quality Over Frequency</w:t>
      </w:r>
      <w:r>
        <w:t>: Useful, specific, behavior-linked coaching will predict outcomes more strongly than coaching frequency alone.</w:t>
      </w:r>
    </w:p>
    <w:p>
      <w:r>
        <w:rPr>
          <w:b/>
        </w:rPr>
        <w:t>H6 — Context Constrains Leadership</w:t>
      </w:r>
      <w:r>
        <w:t>: Supervisor quality will not fully compensate for structurally poor staffing, unreasonable schedules/targets, inadequate tools, low pay, or harmful organizational policy.</w:t>
      </w:r>
    </w:p>
    <w:p>
      <w:r>
        <w:rPr>
          <w:b/>
        </w:rPr>
        <w:t>H7 — Team/Peer Effects Matter Too</w:t>
      </w:r>
      <w:r>
        <w:t>: Team-member relationships and peer support will explain some outcomes beyond the supervisor relationship.</w:t>
      </w:r>
    </w:p>
    <w:p>
      <w:r>
        <w:rPr>
          <w:b/>
        </w:rPr>
        <w:t>H8 — Supervisor Effects Vary</w:t>
      </w:r>
      <w:r>
        <w:t>: The magnitude of supervisor effects will vary across employees, teams, employers, work arrangements, tenure stages, and outcomes.</w:t>
      </w:r>
    </w:p>
    <w:p>
      <w:pPr>
        <w:pStyle w:val="Heading1"/>
      </w:pPr>
      <w:r>
        <w:t>6. Evidence Foundation and Source Target</w:t>
      </w:r>
    </w:p>
    <w:p>
      <w:r>
        <w:t>The starting evidence base includes broad leadership, leader–member exchange, feedback-environment, coaching, psychological-safety, supervisor-support, and contact-center-specific research. Before confirmatory testing, the Evidence Registry should contain at least 25 high-relevance sources: at least 10 meta-analyses/systematic reviews or strong peer-reviewed empirical studies; at least 5 contact-center/customer-service studies; at least 3 measurement/methodology authorities; and evidence explicitly capable of weakening the supervisor-effect thesis.</w:t>
      </w:r>
    </w:p>
    <w:tbl>
      <w:tblPr>
        <w:tblStyle w:val="TableGrid"/>
        <w:tblW w:type="auto" w:w="0"/>
        <w:jc w:val="center"/>
        <w:tblLook w:firstColumn="1" w:firstRow="1" w:lastColumn="0" w:lastRow="0" w:noHBand="0" w:noVBand="1" w:val="04A0"/>
      </w:tblPr>
      <w:tblGrid>
        <w:gridCol w:w="3312"/>
        <w:gridCol w:w="3312"/>
        <w:gridCol w:w="3312"/>
      </w:tblGrid>
      <w:tr>
        <w:tc>
          <w:tcPr>
            <w:tcW w:type="dxa" w:w="3312"/>
            <w:shd w:fill="0B3A53"/>
          </w:tcPr>
          <w:p>
            <w:r>
              <w:rPr>
                <w:b/>
                <w:color w:val="FFFFFF"/>
              </w:rPr>
              <w:t>Anchor Evidence</w:t>
            </w:r>
          </w:p>
        </w:tc>
        <w:tc>
          <w:tcPr>
            <w:tcW w:type="dxa" w:w="3312"/>
            <w:shd w:fill="0B3A53"/>
          </w:tcPr>
          <w:p>
            <w:r>
              <w:rPr>
                <w:b/>
                <w:color w:val="FFFFFF"/>
              </w:rPr>
              <w:t>Contribution</w:t>
            </w:r>
          </w:p>
        </w:tc>
        <w:tc>
          <w:tcPr>
            <w:tcW w:type="dxa" w:w="3312"/>
            <w:shd w:fill="0B3A53"/>
          </w:tcPr>
          <w:p>
            <w:r>
              <w:rPr>
                <w:b/>
                <w:color w:val="FFFFFF"/>
              </w:rPr>
              <w:t>Caution / Disproof Value</w:t>
            </w:r>
          </w:p>
        </w:tc>
      </w:tr>
      <w:tr>
        <w:tc>
          <w:tcPr>
            <w:tcW w:type="dxa" w:w="3312"/>
          </w:tcPr>
          <w:p>
            <w:r>
              <w:t>Martin et al. (2016), Personnel Psychology — LMX &amp; performance meta-analysis</w:t>
            </w:r>
          </w:p>
        </w:tc>
        <w:tc>
          <w:tcPr>
            <w:tcW w:type="dxa" w:w="3312"/>
          </w:tcPr>
          <w:p>
            <w:r>
              <w:t>146 samples for task performance; positive relationships with task/citizenship performance and objective performance; trust was an important mediator.</w:t>
            </w:r>
          </w:p>
        </w:tc>
        <w:tc>
          <w:tcPr>
            <w:tcW w:type="dxa" w:w="3312"/>
          </w:tcPr>
          <w:p>
            <w:r>
              <w:t>Effects weakened with different-source/method measurement, highlighting common-method bias.</w:t>
            </w:r>
          </w:p>
        </w:tc>
      </w:tr>
      <w:tr>
        <w:tc>
          <w:tcPr>
            <w:tcW w:type="dxa" w:w="3312"/>
          </w:tcPr>
          <w:p>
            <w:r>
              <w:t>Gerstner &amp; Day (1997), Journal of Applied Psychology — LMX meta-analysis</w:t>
            </w:r>
          </w:p>
        </w:tc>
        <w:tc>
          <w:tcPr>
            <w:tcW w:type="dxa" w:w="3312"/>
          </w:tcPr>
          <w:p>
            <w:r>
              <w:t>LMX related to performance, satisfaction, commitment, role clarity and turnover intentions.</w:t>
            </w:r>
          </w:p>
        </w:tc>
        <w:tc>
          <w:tcPr>
            <w:tcW w:type="dxa" w:w="3312"/>
          </w:tcPr>
          <w:p>
            <w:r>
              <w:t>Older evidence; construct and leader/member agreement issues require careful measurement.</w:t>
            </w:r>
          </w:p>
        </w:tc>
      </w:tr>
      <w:tr>
        <w:tc>
          <w:tcPr>
            <w:tcW w:type="dxa" w:w="3312"/>
          </w:tcPr>
          <w:p>
            <w:r>
              <w:t>Banks et al. (2014), Journal of Organizational Behavior — LMX/TMX meta-analysis</w:t>
            </w:r>
          </w:p>
        </w:tc>
        <w:tc>
          <w:tcPr>
            <w:tcW w:type="dxa" w:w="3312"/>
          </w:tcPr>
          <w:p>
            <w:r>
              <w:t>Peer/team exchange can add explanatory value beyond leader exchange for some outcomes.</w:t>
            </w:r>
          </w:p>
        </w:tc>
        <w:tc>
          <w:tcPr>
            <w:tcW w:type="dxa" w:w="3312"/>
          </w:tcPr>
          <w:p>
            <w:r>
              <w:t>Direct warning against attributing all social-environment effects to supervisors.</w:t>
            </w:r>
          </w:p>
        </w:tc>
      </w:tr>
      <w:tr>
        <w:tc>
          <w:tcPr>
            <w:tcW w:type="dxa" w:w="3312"/>
          </w:tcPr>
          <w:p>
            <w:r>
              <w:t>Katz et al. (2021), International Journal of Selection and Assessment — feedback environment meta-analysis</w:t>
            </w:r>
          </w:p>
        </w:tc>
        <w:tc>
          <w:tcPr>
            <w:tcW w:type="dxa" w:w="3312"/>
          </w:tcPr>
          <w:p>
            <w:r>
              <w:t>112 independent samples / 31,089 workers; feedback environment related positively to supervisor-rated performance and negatively to burnout.</w:t>
            </w:r>
          </w:p>
        </w:tc>
        <w:tc>
          <w:tcPr>
            <w:tcW w:type="dxa" w:w="3312"/>
          </w:tcPr>
          <w:p>
            <w:r>
              <w:t>Feedback environment overlaps strongly with LMX; discriminant validity is essential.</w:t>
            </w:r>
          </w:p>
        </w:tc>
      </w:tr>
      <w:tr>
        <w:tc>
          <w:tcPr>
            <w:tcW w:type="dxa" w:w="3312"/>
          </w:tcPr>
          <w:p>
            <w:r>
              <w:t>Jones et al. (2016), Journal of Occupational &amp; Organizational Psychology — workplace coaching meta-analysis</w:t>
            </w:r>
          </w:p>
        </w:tc>
        <w:tc>
          <w:tcPr>
            <w:tcW w:type="dxa" w:w="3312"/>
          </w:tcPr>
          <w:p>
            <w:r>
              <w:t>17 studies; positive effects across learning/performance outcome categories.</w:t>
            </w:r>
          </w:p>
        </w:tc>
        <w:tc>
          <w:tcPr>
            <w:tcW w:type="dxa" w:w="3312"/>
          </w:tcPr>
          <w:p>
            <w:r>
              <w:t>Excluded manager–subordinate coaching, so it cannot directly validate supervisor coaching effects.</w:t>
            </w:r>
          </w:p>
        </w:tc>
      </w:tr>
      <w:tr>
        <w:tc>
          <w:tcPr>
            <w:tcW w:type="dxa" w:w="3312"/>
          </w:tcPr>
          <w:p>
            <w:r>
              <w:t>Erdogan &amp; Enders (2007), Journal of Applied Psychology</w:t>
            </w:r>
          </w:p>
        </w:tc>
        <w:tc>
          <w:tcPr>
            <w:tcW w:type="dxa" w:w="3312"/>
          </w:tcPr>
          <w:p>
            <w:r>
              <w:t>Supervisor perceived organizational support moderated LMX relationships with satisfaction/performance.</w:t>
            </w:r>
          </w:p>
        </w:tc>
        <w:tc>
          <w:tcPr>
            <w:tcW w:type="dxa" w:w="3312"/>
          </w:tcPr>
          <w:p>
            <w:r>
              <w:t>Shows supervisor behavior is embedded in organizational support/context, not independent of it.</w:t>
            </w:r>
          </w:p>
        </w:tc>
      </w:tr>
    </w:tbl>
    <w:p>
      <w:pPr>
        <w:pStyle w:val="Heading1"/>
      </w:pPr>
      <w:r>
        <w:t>7. Required Contact-Center Evidence Stream</w:t>
      </w:r>
    </w:p>
    <w:p>
      <w:r>
        <w:t>Broad leadership evidence cannot by itself establish the size or mechanism of supervisor effects in modern contact centers. The Evidence Registry must therefore separately map contact-center studies involving supervisory support, monitoring, coaching, emotional labor, burnout, performance, turnover, and high-control work design. Vendor case studies may generate hypotheses but cannot establish causal effects.</w:t>
      </w:r>
    </w:p>
    <w:p>
      <w:pPr>
        <w:pStyle w:val="Heading1"/>
      </w:pPr>
      <w:r>
        <w:t>8. Outcomes</w:t>
      </w:r>
    </w:p>
    <w:p>
      <w:pPr>
        <w:pStyle w:val="ListBullet"/>
      </w:pPr>
      <w:r>
        <w:t>Adjustment: role clarity, task confidence/mastery, social integration.</w:t>
      </w:r>
    </w:p>
    <w:p>
      <w:pPr>
        <w:pStyle w:val="ListBullet"/>
      </w:pPr>
      <w:r>
        <w:t>Trust and relationship outcomes: leader trust, perceived support, fairness and credibility.</w:t>
      </w:r>
    </w:p>
    <w:p>
      <w:pPr>
        <w:pStyle w:val="ListBullet"/>
      </w:pPr>
      <w:r>
        <w:t>Performance: quality, resolution, adherence or other role-relevant measures where defensibly available.</w:t>
      </w:r>
    </w:p>
    <w:p>
      <w:pPr>
        <w:pStyle w:val="ListBullet"/>
      </w:pPr>
      <w:r>
        <w:t>Learning/development: coaching uptake, behavior change, proficiency progression.</w:t>
      </w:r>
    </w:p>
    <w:p>
      <w:pPr>
        <w:pStyle w:val="ListBullet"/>
      </w:pPr>
      <w:r>
        <w:t>Sustainability: burnout/exhaustion, withdrawal, absenteeism and intent to leave.</w:t>
      </w:r>
    </w:p>
    <w:p>
      <w:pPr>
        <w:pStyle w:val="ListBullet"/>
      </w:pPr>
      <w:r>
        <w:t>Employment: training completion, Day 30, Day 90, Month 6 and Month 12 status.</w:t>
      </w:r>
    </w:p>
    <w:p>
      <w:pPr>
        <w:pStyle w:val="ListBullet"/>
      </w:pPr>
      <w:r>
        <w:t>Team-level outcomes: dispersion in performance, climate, attrition and engagement where sample structure permits.</w:t>
      </w:r>
    </w:p>
    <w:p>
      <w:pPr>
        <w:pStyle w:val="Heading1"/>
      </w:pPr>
      <w:r>
        <w:t>9. Confounders and Alternative Explanations</w:t>
      </w:r>
    </w:p>
    <w:p>
      <w:r>
        <w:t>Models should consider employee prior experience, tenure, baseline capability, schedule, compensation, work arrangement, job complexity, channel, training quality, team composition, staffing pressure, workload, technology, target reasonableness, organizational change, manager-of-supervisor support, employer, labor market, and selection/assignment processes. High-performing employees may receive different leader attention, and stronger employees may be assigned to stronger supervisors; reverse causality and non-random assignment must be addressed.</w:t>
      </w:r>
    </w:p>
    <w:p>
      <w:pPr>
        <w:pStyle w:val="Heading1"/>
      </w:pPr>
      <w:r>
        <w:t>10. Falsification Register</w:t>
      </w:r>
    </w:p>
    <w:tbl>
      <w:tblPr>
        <w:tblStyle w:val="TableGrid"/>
        <w:tblW w:type="auto" w:w="0"/>
        <w:jc w:val="center"/>
        <w:tblLook w:firstColumn="1" w:firstRow="1" w:lastColumn="0" w:lastRow="0" w:noHBand="0" w:noVBand="1" w:val="04A0"/>
      </w:tblPr>
      <w:tblGrid>
        <w:gridCol w:w="4968"/>
        <w:gridCol w:w="4968"/>
      </w:tblGrid>
      <w:tr>
        <w:tc>
          <w:tcPr>
            <w:tcW w:type="dxa" w:w="4968"/>
            <w:shd w:fill="0B3A53"/>
          </w:tcPr>
          <w:p>
            <w:r>
              <w:rPr>
                <w:b/>
                <w:color w:val="FFFFFF"/>
              </w:rPr>
              <w:t>ID</w:t>
            </w:r>
          </w:p>
        </w:tc>
        <w:tc>
          <w:tcPr>
            <w:tcW w:type="dxa" w:w="4968"/>
            <w:shd w:fill="0B3A53"/>
          </w:tcPr>
          <w:p>
            <w:r>
              <w:rPr>
                <w:b/>
                <w:color w:val="FFFFFF"/>
              </w:rPr>
              <w:t>Condition that weakens or narrows the thesis</w:t>
            </w:r>
          </w:p>
        </w:tc>
      </w:tr>
      <w:tr>
        <w:tc>
          <w:tcPr>
            <w:tcW w:type="dxa" w:w="4968"/>
          </w:tcPr>
          <w:p>
            <w:r>
              <w:t>F1</w:t>
            </w:r>
          </w:p>
        </w:tc>
        <w:tc>
          <w:tcPr>
            <w:tcW w:type="dxa" w:w="4968"/>
          </w:tcPr>
          <w:p>
            <w:r>
              <w:t>Supervisor measures add little explanatory or predictive value after job, team and organizational controls.</w:t>
            </w:r>
          </w:p>
        </w:tc>
      </w:tr>
      <w:tr>
        <w:tc>
          <w:tcPr>
            <w:tcW w:type="dxa" w:w="4968"/>
          </w:tcPr>
          <w:p>
            <w:r>
              <w:t>F2</w:t>
            </w:r>
          </w:p>
        </w:tc>
        <w:tc>
          <w:tcPr>
            <w:tcW w:type="dxa" w:w="4968"/>
          </w:tcPr>
          <w:p>
            <w:r>
              <w:t>Peer/team effects or structural work conditions explain more than supervisor effects.</w:t>
            </w:r>
          </w:p>
        </w:tc>
      </w:tr>
      <w:tr>
        <w:tc>
          <w:tcPr>
            <w:tcW w:type="dxa" w:w="4968"/>
          </w:tcPr>
          <w:p>
            <w:r>
              <w:t>F3</w:t>
            </w:r>
          </w:p>
        </w:tc>
        <w:tc>
          <w:tcPr>
            <w:tcW w:type="dxa" w:w="4968"/>
          </w:tcPr>
          <w:p>
            <w:r>
              <w:t>Supervisor quality relates to attitudes but not objective performance, proficiency, attendance or retention.</w:t>
            </w:r>
          </w:p>
        </w:tc>
      </w:tr>
      <w:tr>
        <w:tc>
          <w:tcPr>
            <w:tcW w:type="dxa" w:w="4968"/>
          </w:tcPr>
          <w:p>
            <w:r>
              <w:t>F4</w:t>
            </w:r>
          </w:p>
        </w:tc>
        <w:tc>
          <w:tcPr>
            <w:tcW w:type="dxa" w:w="4968"/>
          </w:tcPr>
          <w:p>
            <w:r>
              <w:t>Observed relationships disappear or shrink materially with different-source/objective measurement.</w:t>
            </w:r>
          </w:p>
        </w:tc>
      </w:tr>
      <w:tr>
        <w:tc>
          <w:tcPr>
            <w:tcW w:type="dxa" w:w="4968"/>
          </w:tcPr>
          <w:p>
            <w:r>
              <w:t>F5</w:t>
            </w:r>
          </w:p>
        </w:tc>
        <w:tc>
          <w:tcPr>
            <w:tcW w:type="dxa" w:w="4968"/>
          </w:tcPr>
          <w:p>
            <w:r>
              <w:t>Supervisor coaching frequency predicts little once coaching quality, employee capability and job context are modeled.</w:t>
            </w:r>
          </w:p>
        </w:tc>
      </w:tr>
      <w:tr>
        <w:tc>
          <w:tcPr>
            <w:tcW w:type="dxa" w:w="4968"/>
          </w:tcPr>
          <w:p>
            <w:r>
              <w:t>F6</w:t>
            </w:r>
          </w:p>
        </w:tc>
        <w:tc>
          <w:tcPr>
            <w:tcW w:type="dxa" w:w="4968"/>
          </w:tcPr>
          <w:p>
            <w:r>
              <w:t>Strong supervisors cannot meaningfully offset poor staffing, tools, schedules, compensation or policy.</w:t>
            </w:r>
          </w:p>
        </w:tc>
      </w:tr>
      <w:tr>
        <w:tc>
          <w:tcPr>
            <w:tcW w:type="dxa" w:w="4968"/>
          </w:tcPr>
          <w:p>
            <w:r>
              <w:t>F7</w:t>
            </w:r>
          </w:p>
        </w:tc>
        <w:tc>
          <w:tcPr>
            <w:tcW w:type="dxa" w:w="4968"/>
          </w:tcPr>
          <w:p>
            <w:r>
              <w:t>Effects fail to replicate across employers, industries, channels or work arrangements.</w:t>
            </w:r>
          </w:p>
        </w:tc>
      </w:tr>
      <w:tr>
        <w:tc>
          <w:tcPr>
            <w:tcW w:type="dxa" w:w="4968"/>
          </w:tcPr>
          <w:p>
            <w:r>
              <w:t>F8</w:t>
            </w:r>
          </w:p>
        </w:tc>
        <w:tc>
          <w:tcPr>
            <w:tcW w:type="dxa" w:w="4968"/>
          </w:tcPr>
          <w:p>
            <w:r>
              <w:t>Employee-to-supervisor assignment/selection explains apparent supervisor effects.</w:t>
            </w:r>
          </w:p>
        </w:tc>
      </w:tr>
      <w:tr>
        <w:tc>
          <w:tcPr>
            <w:tcW w:type="dxa" w:w="4968"/>
          </w:tcPr>
          <w:p>
            <w:r>
              <w:t>F9</w:t>
            </w:r>
          </w:p>
        </w:tc>
        <w:tc>
          <w:tcPr>
            <w:tcW w:type="dxa" w:w="4968"/>
          </w:tcPr>
          <w:p>
            <w:r>
              <w:t>Interventions improve supervisor survey ratings without changing meaningful employee or operational outcomes.</w:t>
            </w:r>
          </w:p>
        </w:tc>
      </w:tr>
    </w:tbl>
    <w:p>
      <w:pPr>
        <w:pStyle w:val="Heading1"/>
      </w:pPr>
      <w:r>
        <w:t>11. Data Architecture</w:t>
      </w:r>
    </w:p>
    <w:p>
      <w:pPr>
        <w:pStyle w:val="ListBullet"/>
      </w:pPr>
      <w:r>
        <w:t>Level 1 — Social listening: exploratory stories about supervisor behaviors that helped or hindered; not representative evidence.</w:t>
      </w:r>
    </w:p>
    <w:p>
      <w:pPr>
        <w:pStyle w:val="ListBullet"/>
      </w:pPr>
      <w:r>
        <w:t>Level 2 — Frontline Pulse: brief measures of supervisor support/feedback plus tenure and outcome indicators.</w:t>
      </w:r>
    </w:p>
    <w:p>
      <w:pPr>
        <w:pStyle w:val="ListBullet"/>
      </w:pPr>
      <w:r>
        <w:t>Level 3 — Research survey: validated measures where available, multiple supervisor domains, employee/job covariates.</w:t>
      </w:r>
    </w:p>
    <w:p>
      <w:pPr>
        <w:pStyle w:val="ListBullet"/>
      </w:pPr>
      <w:r>
        <w:t>Level 4 — Structured interviews: frontline employees, supervisors, managers, L&amp;D, WFM, HR and operations.</w:t>
      </w:r>
    </w:p>
    <w:p>
      <w:pPr>
        <w:pStyle w:val="ListBullet"/>
      </w:pPr>
      <w:r>
        <w:t>Level 5 — Employer cohort data: de-identified employee outcomes linked to supervisor/team identifiers where permissible.</w:t>
      </w:r>
    </w:p>
    <w:p>
      <w:pPr>
        <w:pStyle w:val="ListBullet"/>
      </w:pPr>
      <w:r>
        <w:t>Level 6 — Longitudinal/multilevel panel: repeated employee measures nested within supervisors/teams/employers.</w:t>
      </w:r>
    </w:p>
    <w:p>
      <w:pPr>
        <w:pStyle w:val="ListBullet"/>
      </w:pPr>
      <w:r>
        <w:t>Level 7 — Intervention: supervisor-development or coaching intervention with prospective comparison when feasible.</w:t>
      </w:r>
    </w:p>
    <w:p>
      <w:pPr>
        <w:pStyle w:val="Heading1"/>
      </w:pPr>
      <w:r>
        <w:t>12. Measurement Design</w:t>
      </w:r>
    </w:p>
    <w:p>
      <w:r>
        <w:t>Where feasible, use validated constructs rather than a proprietary omnibus 'good supervisor' score. Employee perception, supervisor self-report, behavioral observation/coaching artifacts, team-level indicators, and objective outcomes should be triangulated. Common-source bias is a central risk: employee-rated supervisor quality and employee-rated satisfaction collected in the same survey cannot establish a supervisor effect.</w:t>
      </w:r>
    </w:p>
    <w:tbl>
      <w:tblPr>
        <w:tblStyle w:val="TableGrid"/>
        <w:tblW w:type="auto" w:w="0"/>
        <w:jc w:val="center"/>
        <w:tblLook w:firstColumn="1" w:firstRow="1" w:lastColumn="0" w:lastRow="0" w:noHBand="0" w:noVBand="1" w:val="04A0"/>
      </w:tblPr>
      <w:tblGrid>
        <w:gridCol w:w="4968"/>
        <w:gridCol w:w="4968"/>
      </w:tblGrid>
      <w:tr>
        <w:tc>
          <w:tcPr>
            <w:tcW w:type="dxa" w:w="4968"/>
            <w:shd w:fill="0B3A53"/>
          </w:tcPr>
          <w:p>
            <w:r>
              <w:rPr>
                <w:b/>
                <w:color w:val="FFFFFF"/>
              </w:rPr>
              <w:t>Construct Family</w:t>
            </w:r>
          </w:p>
        </w:tc>
        <w:tc>
          <w:tcPr>
            <w:tcW w:type="dxa" w:w="4968"/>
            <w:shd w:fill="0B3A53"/>
          </w:tcPr>
          <w:p>
            <w:r>
              <w:rPr>
                <w:b/>
                <w:color w:val="FFFFFF"/>
              </w:rPr>
              <w:t>Preferred Approach</w:t>
            </w:r>
          </w:p>
        </w:tc>
      </w:tr>
      <w:tr>
        <w:tc>
          <w:tcPr>
            <w:tcW w:type="dxa" w:w="4968"/>
          </w:tcPr>
          <w:p>
            <w:r>
              <w:t>Leader–member relationship</w:t>
            </w:r>
          </w:p>
        </w:tc>
        <w:tc>
          <w:tcPr>
            <w:tcW w:type="dxa" w:w="4968"/>
          </w:tcPr>
          <w:p>
            <w:r>
              <w:t>Validated LMX/trust measures where licensing/use permits.</w:t>
            </w:r>
          </w:p>
        </w:tc>
      </w:tr>
      <w:tr>
        <w:tc>
          <w:tcPr>
            <w:tcW w:type="dxa" w:w="4968"/>
          </w:tcPr>
          <w:p>
            <w:r>
              <w:t>Feedback environment</w:t>
            </w:r>
          </w:p>
        </w:tc>
        <w:tc>
          <w:tcPr>
            <w:tcW w:type="dxa" w:w="4968"/>
          </w:tcPr>
          <w:p>
            <w:r>
              <w:t>Validated feedback-environment constructs; separate quality, credibility, availability and usefulness.</w:t>
            </w:r>
          </w:p>
        </w:tc>
      </w:tr>
      <w:tr>
        <w:tc>
          <w:tcPr>
            <w:tcW w:type="dxa" w:w="4968"/>
          </w:tcPr>
          <w:p>
            <w:r>
              <w:t>Psychological safety</w:t>
            </w:r>
          </w:p>
        </w:tc>
        <w:tc>
          <w:tcPr>
            <w:tcW w:type="dxa" w:w="4968"/>
          </w:tcPr>
          <w:p>
            <w:r>
              <w:t>Validated team/employee psychological-safety measures appropriate to unit of analysis.</w:t>
            </w:r>
          </w:p>
        </w:tc>
      </w:tr>
      <w:tr>
        <w:tc>
          <w:tcPr>
            <w:tcW w:type="dxa" w:w="4968"/>
          </w:tcPr>
          <w:p>
            <w:r>
              <w:t>Supervisor support</w:t>
            </w:r>
          </w:p>
        </w:tc>
        <w:tc>
          <w:tcPr>
            <w:tcW w:type="dxa" w:w="4968"/>
          </w:tcPr>
          <w:p>
            <w:r>
              <w:t>Established perceived-supervisor-support measures where appropriate.</w:t>
            </w:r>
          </w:p>
        </w:tc>
      </w:tr>
      <w:tr>
        <w:tc>
          <w:tcPr>
            <w:tcW w:type="dxa" w:w="4968"/>
          </w:tcPr>
          <w:p>
            <w:r>
              <w:t>Coaching behavior</w:t>
            </w:r>
          </w:p>
        </w:tc>
        <w:tc>
          <w:tcPr>
            <w:tcW w:type="dxa" w:w="4968"/>
          </w:tcPr>
          <w:p>
            <w:r>
              <w:t>Behavior-specific frequency + quality + usefulness; avoid frequency-only measures.</w:t>
            </w:r>
          </w:p>
        </w:tc>
      </w:tr>
      <w:tr>
        <w:tc>
          <w:tcPr>
            <w:tcW w:type="dxa" w:w="4968"/>
          </w:tcPr>
          <w:p>
            <w:r>
              <w:t>Objective outcomes</w:t>
            </w:r>
          </w:p>
        </w:tc>
        <w:tc>
          <w:tcPr>
            <w:tcW w:type="dxa" w:w="4968"/>
          </w:tcPr>
          <w:p>
            <w:r>
              <w:t>Employer-provided proficiency, quality, attendance, retention and operational outcomes where possible.</w:t>
            </w:r>
          </w:p>
        </w:tc>
      </w:tr>
    </w:tbl>
    <w:p>
      <w:pPr>
        <w:pStyle w:val="Heading1"/>
      </w:pPr>
      <w:r>
        <w:t>13. Multilevel Analysis Requirement</w:t>
      </w:r>
    </w:p>
    <w:p>
      <w:r>
        <w:t>This study is inherently nested: employees are nested within supervisors, teams, sites/employers, and time. When sufficient sample structure exists, multilevel models should estimate how much outcome variance occurs at the supervisor/team level and whether supervisor-domain measures explain that variance. The study should not call a correlation between one employee's supervisor rating and one employee outcome a 'supervisor effect.'</w:t>
      </w:r>
    </w:p>
    <w:p>
      <w:pPr>
        <w:pStyle w:val="Heading1"/>
      </w:pPr>
      <w:r>
        <w:t>14. Structured Interview Core</w:t>
      </w:r>
    </w:p>
    <w:p>
      <w:pPr>
        <w:pStyle w:val="ListNumber"/>
      </w:pPr>
      <w:r>
        <w:t>Think of a supervisor who helped you perform well. What did that person actually do?</w:t>
      </w:r>
    </w:p>
    <w:p>
      <w:pPr>
        <w:pStyle w:val="ListNumber"/>
      </w:pPr>
      <w:r>
        <w:t>Think of a supervisor relationship that made the work harder. What behavior or condition mattered?</w:t>
      </w:r>
    </w:p>
    <w:p>
      <w:pPr>
        <w:pStyle w:val="ListNumber"/>
      </w:pPr>
      <w:r>
        <w:t>When you were new, what kind of supervisor support mattered most?</w:t>
      </w:r>
    </w:p>
    <w:p>
      <w:pPr>
        <w:pStyle w:val="ListNumber"/>
      </w:pPr>
      <w:r>
        <w:t>What does useful coaching look or sound like in practice?</w:t>
      </w:r>
    </w:p>
    <w:p>
      <w:pPr>
        <w:pStyle w:val="ListNumber"/>
      </w:pPr>
      <w:r>
        <w:t>Have you received frequent coaching that was not useful? What made it ineffective?</w:t>
      </w:r>
    </w:p>
    <w:p>
      <w:pPr>
        <w:pStyle w:val="ListNumber"/>
      </w:pPr>
      <w:r>
        <w:t>When a metric or result was poor, how did your supervisor determine whether the cause was individual behavior or a system issue?</w:t>
      </w:r>
    </w:p>
    <w:p>
      <w:pPr>
        <w:pStyle w:val="ListNumber"/>
      </w:pPr>
      <w:r>
        <w:t>How safe did you feel admitting uncertainty, asking for help, or challenging a process?</w:t>
      </w:r>
    </w:p>
    <w:p>
      <w:pPr>
        <w:pStyle w:val="ListNumber"/>
      </w:pPr>
      <w:r>
        <w:t>What could your supervisor influence, and what problems were outside their control?</w:t>
      </w:r>
    </w:p>
    <w:p>
      <w:pPr>
        <w:pStyle w:val="ListNumber"/>
      </w:pPr>
      <w:r>
        <w:t>Did peers or teammates matter more than your supervisor in any important way?</w:t>
      </w:r>
    </w:p>
    <w:p>
      <w:pPr>
        <w:pStyle w:val="ListNumber"/>
      </w:pPr>
      <w:r>
        <w:t>What evidence would make you disagree that the immediate supervisor materially affects frontline success?</w:t>
      </w:r>
    </w:p>
    <w:p>
      <w:pPr>
        <w:pStyle w:val="Heading1"/>
      </w:pPr>
      <w:r>
        <w:t>15. Social Listening Prompts</w:t>
      </w:r>
    </w:p>
    <w:p>
      <w:pPr>
        <w:pStyle w:val="ListBullet"/>
      </w:pPr>
      <w:r>
        <w:t>What is ONE thing a great contact-center supervisor did that actually made your job easier or helped you improve?</w:t>
      </w:r>
    </w:p>
    <w:p>
      <w:pPr>
        <w:pStyle w:val="ListBullet"/>
      </w:pPr>
      <w:r>
        <w:t>What kind of coaching changed your behavior—not just your score?</w:t>
      </w:r>
    </w:p>
    <w:p>
      <w:pPr>
        <w:pStyle w:val="ListBullet"/>
      </w:pPr>
      <w:r>
        <w:t>What is something frontline employees blame supervisors for that supervisors may not actually control?</w:t>
      </w:r>
    </w:p>
    <w:p>
      <w:pPr>
        <w:pStyle w:val="ListBullet"/>
      </w:pPr>
      <w:r>
        <w:t>Have you ever had a strong supervisor inside a broken system? What happened?</w:t>
      </w:r>
    </w:p>
    <w:p>
      <w:pPr>
        <w:pStyle w:val="ListBullet"/>
      </w:pPr>
      <w:r>
        <w:t>What matters more in a difficult contact-center job: your supervisor, your team, or the system around you—and why?</w:t>
      </w:r>
    </w:p>
    <w:p>
      <w:r>
        <w:t>Public comments remain exploratory observations and are not formal study responses.</w:t>
      </w:r>
    </w:p>
    <w:p>
      <w:pPr>
        <w:pStyle w:val="Heading1"/>
      </w:pPr>
      <w:r>
        <w:t>16. Claim Ladder</w:t>
      </w:r>
    </w:p>
    <w:tbl>
      <w:tblPr>
        <w:tblStyle w:val="TableGrid"/>
        <w:tblW w:type="auto" w:w="0"/>
        <w:jc w:val="center"/>
        <w:tblLook w:firstColumn="1" w:firstRow="1" w:lastColumn="0" w:lastRow="0" w:noHBand="0" w:noVBand="1" w:val="04A0"/>
      </w:tblPr>
      <w:tblGrid>
        <w:gridCol w:w="3312"/>
        <w:gridCol w:w="3312"/>
        <w:gridCol w:w="3312"/>
      </w:tblGrid>
      <w:tr>
        <w:tc>
          <w:tcPr>
            <w:tcW w:type="dxa" w:w="3312"/>
            <w:shd w:fill="0B3A53"/>
          </w:tcPr>
          <w:p>
            <w:r>
              <w:rPr>
                <w:b/>
                <w:color w:val="FFFFFF"/>
              </w:rPr>
              <w:t>Level</w:t>
            </w:r>
          </w:p>
        </w:tc>
        <w:tc>
          <w:tcPr>
            <w:tcW w:type="dxa" w:w="3312"/>
            <w:shd w:fill="0B3A53"/>
          </w:tcPr>
          <w:p>
            <w:r>
              <w:rPr>
                <w:b/>
                <w:color w:val="FFFFFF"/>
              </w:rPr>
              <w:t>Permitted Claim</w:t>
            </w:r>
          </w:p>
        </w:tc>
        <w:tc>
          <w:tcPr>
            <w:tcW w:type="dxa" w:w="3312"/>
            <w:shd w:fill="0B3A53"/>
          </w:tcPr>
          <w:p>
            <w:r>
              <w:rPr>
                <w:b/>
                <w:color w:val="FFFFFF"/>
              </w:rPr>
              <w:t>Minimum Evidence</w:t>
            </w:r>
          </w:p>
        </w:tc>
      </w:tr>
      <w:tr>
        <w:tc>
          <w:tcPr>
            <w:tcW w:type="dxa" w:w="3312"/>
          </w:tcPr>
          <w:p>
            <w:r>
              <w:t>0 — Observation</w:t>
            </w:r>
          </w:p>
        </w:tc>
        <w:tc>
          <w:tcPr>
            <w:tcW w:type="dxa" w:w="3312"/>
          </w:tcPr>
          <w:p>
            <w:r>
              <w:t>Participants describe supervisor behavior X as helpful/harmful.</w:t>
            </w:r>
          </w:p>
        </w:tc>
        <w:tc>
          <w:tcPr>
            <w:tcW w:type="dxa" w:w="3312"/>
          </w:tcPr>
          <w:p>
            <w:r>
              <w:t>Exploratory listening/interviews</w:t>
            </w:r>
          </w:p>
        </w:tc>
      </w:tr>
      <w:tr>
        <w:tc>
          <w:tcPr>
            <w:tcW w:type="dxa" w:w="3312"/>
          </w:tcPr>
          <w:p>
            <w:r>
              <w:t>1 — Association</w:t>
            </w:r>
          </w:p>
        </w:tc>
        <w:tc>
          <w:tcPr>
            <w:tcW w:type="dxa" w:w="3312"/>
          </w:tcPr>
          <w:p>
            <w:r>
              <w:t>Supervisor-domain X is associated with outcome Y in this sample.</w:t>
            </w:r>
          </w:p>
        </w:tc>
        <w:tc>
          <w:tcPr>
            <w:tcW w:type="dxa" w:w="3312"/>
          </w:tcPr>
          <w:p>
            <w:r>
              <w:t>Adequate cross-sectional data + controls</w:t>
            </w:r>
          </w:p>
        </w:tc>
      </w:tr>
      <w:tr>
        <w:tc>
          <w:tcPr>
            <w:tcW w:type="dxa" w:w="3312"/>
          </w:tcPr>
          <w:p>
            <w:r>
              <w:t>2 — Incremental prediction</w:t>
            </w:r>
          </w:p>
        </w:tc>
        <w:tc>
          <w:tcPr>
            <w:tcW w:type="dxa" w:w="3312"/>
          </w:tcPr>
          <w:p>
            <w:r>
              <w:t>Supervisor-domain X predicts later Y beyond employee/job alternatives.</w:t>
            </w:r>
          </w:p>
        </w:tc>
        <w:tc>
          <w:tcPr>
            <w:tcW w:type="dxa" w:w="3312"/>
          </w:tcPr>
          <w:p>
            <w:r>
              <w:t>Longitudinal/multivariable evidence</w:t>
            </w:r>
          </w:p>
        </w:tc>
      </w:tr>
      <w:tr>
        <w:tc>
          <w:tcPr>
            <w:tcW w:type="dxa" w:w="3312"/>
          </w:tcPr>
          <w:p>
            <w:r>
              <w:t>3 — Supervisor-level variance</w:t>
            </w:r>
          </w:p>
        </w:tc>
        <w:tc>
          <w:tcPr>
            <w:tcW w:type="dxa" w:w="3312"/>
          </w:tcPr>
          <w:p>
            <w:r>
              <w:t>Meaningful outcome variance exists between supervisors/teams.</w:t>
            </w:r>
          </w:p>
        </w:tc>
        <w:tc>
          <w:tcPr>
            <w:tcW w:type="dxa" w:w="3312"/>
          </w:tcPr>
          <w:p>
            <w:r>
              <w:t>Adequate nested data + multilevel modeling</w:t>
            </w:r>
          </w:p>
        </w:tc>
      </w:tr>
      <w:tr>
        <w:tc>
          <w:tcPr>
            <w:tcW w:type="dxa" w:w="3312"/>
          </w:tcPr>
          <w:p>
            <w:r>
              <w:t>4 — Replication</w:t>
            </w:r>
          </w:p>
        </w:tc>
        <w:tc>
          <w:tcPr>
            <w:tcW w:type="dxa" w:w="3312"/>
          </w:tcPr>
          <w:p>
            <w:r>
              <w:t>Relationships recur across employers/contexts.</w:t>
            </w:r>
          </w:p>
        </w:tc>
        <w:tc>
          <w:tcPr>
            <w:tcW w:type="dxa" w:w="3312"/>
          </w:tcPr>
          <w:p>
            <w:r>
              <w:t>Multi-site/external evidence</w:t>
            </w:r>
          </w:p>
        </w:tc>
      </w:tr>
      <w:tr>
        <w:tc>
          <w:tcPr>
            <w:tcW w:type="dxa" w:w="3312"/>
          </w:tcPr>
          <w:p>
            <w:r>
              <w:t>5 — Intervention effect</w:t>
            </w:r>
          </w:p>
        </w:tc>
        <w:tc>
          <w:tcPr>
            <w:tcW w:type="dxa" w:w="3312"/>
          </w:tcPr>
          <w:p>
            <w:r>
              <w:t>Changing supervisor behavior changes employee outcomes.</w:t>
            </w:r>
          </w:p>
        </w:tc>
        <w:tc>
          <w:tcPr>
            <w:tcW w:type="dxa" w:w="3312"/>
          </w:tcPr>
          <w:p>
            <w:r>
              <w:t>Prospective experimental/strong quasi-experimental evidence</w:t>
            </w:r>
          </w:p>
        </w:tc>
      </w:tr>
      <w:tr>
        <w:tc>
          <w:tcPr>
            <w:tcW w:type="dxa" w:w="3312"/>
          </w:tcPr>
          <w:p>
            <w:r>
              <w:t>6 — Economic value</w:t>
            </w:r>
          </w:p>
        </w:tc>
        <w:tc>
          <w:tcPr>
            <w:tcW w:type="dxa" w:w="3312"/>
          </w:tcPr>
          <w:p>
            <w:r>
              <w:t>Supervisor intervention creates measurable economic value.</w:t>
            </w:r>
          </w:p>
        </w:tc>
        <w:tc>
          <w:tcPr>
            <w:tcW w:type="dxa" w:w="3312"/>
          </w:tcPr>
          <w:p>
            <w:r>
              <w:t>Validated outcomes + cost/benefit analysis</w:t>
            </w:r>
          </w:p>
        </w:tc>
      </w:tr>
    </w:tbl>
    <w:p>
      <w:pPr>
        <w:pStyle w:val="Heading1"/>
      </w:pPr>
      <w:r>
        <w:t>17. Research Quality and Release Standards</w:t>
      </w:r>
    </w:p>
    <w:p>
      <w:pPr>
        <w:pStyle w:val="ListBullet"/>
      </w:pPr>
      <w:r>
        <w:t>Do not equate supervisor popularity with supervisor effectiveness.</w:t>
      </w:r>
    </w:p>
    <w:p>
      <w:pPr>
        <w:pStyle w:val="ListBullet"/>
      </w:pPr>
      <w:r>
        <w:t>Do not infer causality from same-source employee surveys.</w:t>
      </w:r>
    </w:p>
    <w:p>
      <w:pPr>
        <w:pStyle w:val="ListBullet"/>
      </w:pPr>
      <w:r>
        <w:t>Separate supervisor behavior from organizational constraints.</w:t>
      </w:r>
    </w:p>
    <w:p>
      <w:pPr>
        <w:pStyle w:val="ListBullet"/>
      </w:pPr>
      <w:r>
        <w:t>Model peer/team effects and non-random employee assignment.</w:t>
      </w:r>
    </w:p>
    <w:p>
      <w:pPr>
        <w:pStyle w:val="ListBullet"/>
      </w:pPr>
      <w:r>
        <w:t>Use objective or different-source outcomes where feasible.</w:t>
      </w:r>
    </w:p>
    <w:p>
      <w:pPr>
        <w:pStyle w:val="ListBullet"/>
      </w:pPr>
      <w:r>
        <w:t>Treat coaching quality separately from coaching frequency.</w:t>
      </w:r>
    </w:p>
    <w:p>
      <w:pPr>
        <w:pStyle w:val="ListBullet"/>
      </w:pPr>
      <w:r>
        <w:t>Use multilevel analysis when claiming supervisor-level effects.</w:t>
      </w:r>
    </w:p>
    <w:p>
      <w:pPr>
        <w:pStyle w:val="ListBullet"/>
      </w:pPr>
      <w:r>
        <w:t>Actively seek null, contradictory and adverse findings.</w:t>
      </w:r>
    </w:p>
    <w:p>
      <w:pPr>
        <w:pStyle w:val="ListBullet"/>
      </w:pPr>
      <w:r>
        <w:t>Do not publish a proprietary supervisor index before validation.</w:t>
      </w:r>
    </w:p>
    <w:p>
      <w:pPr>
        <w:pStyle w:val="ListBullet"/>
      </w:pPr>
      <w:r>
        <w:t>Require replication before broad industry claims.</w:t>
      </w:r>
    </w:p>
    <w:p>
      <w:pPr>
        <w:pStyle w:val="Heading1"/>
      </w:pPr>
      <w:r>
        <w:t>18. Evidence Registry Rules</w:t>
      </w:r>
    </w:p>
    <w:p>
      <w:pPr>
        <w:pStyle w:val="ListBullet"/>
      </w:pPr>
      <w:r>
        <w:t>Target at least 25 high-relevance sources before confirmatory testing; quality and relevance outrank count.</w:t>
      </w:r>
    </w:p>
    <w:p>
      <w:pPr>
        <w:pStyle w:val="ListBullet"/>
      </w:pPr>
      <w:r>
        <w:t>Code each source SUPPORTIVE, CONTRADICTORY/CAUTIONARY, METHOD, CONTEXT or NEUTRAL.</w:t>
      </w:r>
    </w:p>
    <w:p>
      <w:pPr>
        <w:pStyle w:val="ListBullet"/>
      </w:pPr>
      <w:r>
        <w:t>Record sample, setting, design, measures, outcomes, effect estimates, limitations and hypothesis relevance.</w:t>
      </w:r>
    </w:p>
    <w:p>
      <w:pPr>
        <w:pStyle w:val="ListBullet"/>
      </w:pPr>
      <w:r>
        <w:t>Do not count duplicate versions or publisher mirrors as independent evidence.</w:t>
      </w:r>
    </w:p>
    <w:p>
      <w:pPr>
        <w:pStyle w:val="ListBullet"/>
      </w:pPr>
      <w:r>
        <w:t>Separate broad leadership evidence from contact-center-specific evidence.</w:t>
      </w:r>
    </w:p>
    <w:p>
      <w:pPr>
        <w:pStyle w:val="ListBullet"/>
      </w:pPr>
      <w:r>
        <w:t>Search specifically for common-method bias, reverse causality, team effects, structural constraints and failed leadership interventions.</w:t>
      </w:r>
    </w:p>
    <w:p>
      <w:pPr>
        <w:pStyle w:val="ListBullet"/>
      </w:pPr>
      <w:r>
        <w:t>Document search terms, databases/search engines, date ranges, inclusion/exclusion rules and screening decisions.</w:t>
      </w:r>
    </w:p>
    <w:p>
      <w:pPr>
        <w:pStyle w:val="Heading1"/>
      </w:pPr>
      <w:r>
        <w:t>19. Integration With Studies #001–#003</w:t>
      </w:r>
    </w:p>
    <w:p>
      <w:r>
        <w:t>Use a common anonymous participant identifier so Study #004 supervisor variables can be tested alongside Study #001 survival outcomes, Study #002 expectation-reality gaps, and Study #003 literacy/teaching exposure. This permits competing explanations rather than four disconnected studies. For example, a new hire may struggle because of low preparation, a large reality gap, weak operational understanding, weak supervisor support, structural conditions, or combinations of these factors.</w:t>
      </w:r>
    </w:p>
    <w:p>
      <w:pPr>
        <w:pStyle w:val="Heading1"/>
      </w:pPr>
      <w:r>
        <w:t>20. Immediate Implementation Sequence</w:t>
      </w:r>
    </w:p>
    <w:p>
      <w:pPr/>
      <w:r>
        <w:t>1. Build the 25+ source Evidence Registry, including at least five contact-center-specific empirical studies and explicit contradictory/cautionary evidence.</w:t>
      </w:r>
    </w:p>
    <w:p>
      <w:pPr/>
      <w:r>
        <w:t>2. Create a construct dictionary separating relationship quality, feedback, support, safety, accountability, development and change translation.</w:t>
      </w:r>
    </w:p>
    <w:p>
      <w:pPr/>
      <w:r>
        <w:t>3. Select validated measures and identify licensing/use constraints.</w:t>
      </w:r>
    </w:p>
    <w:p>
      <w:pPr/>
      <w:r>
        <w:t>4. Draft Study #004 Pulse and interview modules only for unresolved evidence gaps, without duplicating Studies #001–#003 without duplicating Studies #001–#003.</w:t>
      </w:r>
    </w:p>
    <w:p>
      <w:pPr/>
      <w:r>
        <w:t>5. If new proprietary or adapted items remain necessary after evidence review, conduct cognitive interviews with frontline employees and supervisors.</w:t>
      </w:r>
    </w:p>
    <w:p>
      <w:pPr/>
      <w:r>
        <w:t>6. Recruit enough employees per supervisor/team to support nested analysis; conduct a power/design analysis before confirmatory collection.</w:t>
      </w:r>
    </w:p>
    <w:p>
      <w:pPr/>
      <w:r>
        <w:t>7. Secure de-identified employer outcome data where possible.</w:t>
      </w:r>
    </w:p>
    <w:p>
      <w:pPr/>
      <w:r>
        <w:t>8. Preregister primary hypotheses, outcomes, covariates, nesting strategy, exclusions and falsification conditions.</w:t>
      </w:r>
    </w:p>
    <w:p>
      <w:pPr/>
      <w:r>
        <w:t>9. Run longitudinal/multilevel analysis before using 'supervisor effect' language.</w:t>
      </w:r>
    </w:p>
    <w:p>
      <w:pPr/>
      <w:r>
        <w:t>10. Only after replication, test a supervisor-development intervention and economic impact.</w:t>
      </w:r>
    </w:p>
    <w:p>
      <w:r>
        <w:br w:type="page"/>
      </w:r>
    </w:p>
    <w:p>
      <w:pPr>
        <w:pStyle w:val="Heading1"/>
      </w:pPr>
      <w:r>
        <w:t>Evidence Sufficiency Amendment — External Evidence First</w:t>
      </w:r>
    </w:p>
    <w:p>
      <w:r>
        <w:t>Research Status: Ongoing. This amendment supersedes any earlier wording that could be read as requiring surveys or interviews by default. ResolveCX will use the strongest credible external evidence and existing datasets first. Original interviews, surveys, employer data, longitudinal collection, or intervention research will be used only when they answer a material question that existing evidence cannot answer with sufficient relevance, quality, recency, population fit, or causal strength.</w:t>
      </w:r>
    </w:p>
    <w:p>
      <w:pPr>
        <w:pStyle w:val="Heading2"/>
      </w:pPr>
      <w:r>
        <w:t>Evidence Sufficiency Decision Framework</w:t>
      </w:r>
    </w:p>
    <w:tbl>
      <w:tblPr>
        <w:tblStyle w:val="TableGrid"/>
        <w:tblW w:type="auto" w:w="0"/>
        <w:jc w:val="center"/>
        <w:tblLook w:firstColumn="1" w:firstRow="1" w:lastColumn="0" w:lastRow="0" w:noHBand="0" w:noVBand="1" w:val="04A0"/>
      </w:tblPr>
      <w:tblGrid>
        <w:gridCol w:w="4968"/>
        <w:gridCol w:w="4968"/>
      </w:tblGrid>
      <w:tr>
        <w:tc>
          <w:tcPr>
            <w:tcW w:type="dxa" w:w="4968"/>
            <w:shd w:fill="0B3A53"/>
          </w:tcPr>
          <w:p>
            <w:r>
              <w:rPr>
                <w:b/>
                <w:color w:val="FFFFFF"/>
                <w:sz w:val="18"/>
              </w:rPr>
              <w:t>Evidence status</w:t>
            </w:r>
          </w:p>
        </w:tc>
        <w:tc>
          <w:tcPr>
            <w:tcW w:type="dxa" w:w="4968"/>
            <w:shd w:fill="0B3A53"/>
          </w:tcPr>
          <w:p>
            <w:r>
              <w:rPr>
                <w:b/>
                <w:color w:val="FFFFFF"/>
                <w:sz w:val="18"/>
              </w:rPr>
              <w:t>Decision rule</w:t>
            </w:r>
          </w:p>
        </w:tc>
      </w:tr>
      <w:tr>
        <w:tc>
          <w:tcPr>
            <w:tcW w:type="dxa" w:w="4968"/>
          </w:tcPr>
          <w:p>
            <w:r>
              <w:rPr>
                <w:sz w:val="17"/>
              </w:rPr>
              <w:t>ESTABLISHED</w:t>
            </w:r>
          </w:p>
        </w:tc>
        <w:tc>
          <w:tcPr>
            <w:tcW w:type="dxa" w:w="4968"/>
          </w:tcPr>
          <w:p>
            <w:r>
              <w:rPr>
                <w:sz w:val="17"/>
              </w:rPr>
              <w:t>Adopt the finding as external evidence. Do not repeat primary research merely to reproduce it.</w:t>
            </w:r>
          </w:p>
        </w:tc>
      </w:tr>
      <w:tr>
        <w:tc>
          <w:tcPr>
            <w:tcW w:type="dxa" w:w="4968"/>
          </w:tcPr>
          <w:p>
            <w:r>
              <w:rPr>
                <w:sz w:val="17"/>
              </w:rPr>
              <w:t>SUPPORTED BUT TRANSFERABILITY UNKNOWN</w:t>
            </w:r>
          </w:p>
        </w:tc>
        <w:tc>
          <w:tcPr>
            <w:tcW w:type="dxa" w:w="4968"/>
          </w:tcPr>
          <w:p>
            <w:r>
              <w:rPr>
                <w:sz w:val="17"/>
              </w:rPr>
              <w:t>Collect only the minimum targeted evidence needed to test applicability to modern contact-center settings.</w:t>
            </w:r>
          </w:p>
        </w:tc>
      </w:tr>
      <w:tr>
        <w:tc>
          <w:tcPr>
            <w:tcW w:type="dxa" w:w="4968"/>
          </w:tcPr>
          <w:p>
            <w:r>
              <w:rPr>
                <w:sz w:val="17"/>
              </w:rPr>
              <w:t>MIXED</w:t>
            </w:r>
          </w:p>
        </w:tc>
        <w:tc>
          <w:tcPr>
            <w:tcW w:type="dxa" w:w="4968"/>
          </w:tcPr>
          <w:p>
            <w:r>
              <w:rPr>
                <w:sz w:val="17"/>
              </w:rPr>
              <w:t>Investigate moderators, contexts, mechanisms, measurement differences, and reasons credible studies disagree.</w:t>
            </w:r>
          </w:p>
        </w:tc>
      </w:tr>
      <w:tr>
        <w:tc>
          <w:tcPr>
            <w:tcW w:type="dxa" w:w="4968"/>
          </w:tcPr>
          <w:p>
            <w:r>
              <w:rPr>
                <w:sz w:val="17"/>
              </w:rPr>
              <w:t>EVIDENCE GAP</w:t>
            </w:r>
          </w:p>
        </w:tc>
        <w:tc>
          <w:tcPr>
            <w:tcW w:type="dxa" w:w="4968"/>
          </w:tcPr>
          <w:p>
            <w:r>
              <w:rPr>
                <w:sz w:val="17"/>
              </w:rPr>
              <w:t>Primary research is justified if the unanswered question is material to ResolveCX.</w:t>
            </w:r>
          </w:p>
        </w:tc>
      </w:tr>
      <w:tr>
        <w:tc>
          <w:tcPr>
            <w:tcW w:type="dxa" w:w="4968"/>
          </w:tcPr>
          <w:p>
            <w:r>
              <w:rPr>
                <w:sz w:val="17"/>
              </w:rPr>
              <w:t>CONTRADICTED</w:t>
            </w:r>
          </w:p>
        </w:tc>
        <w:tc>
          <w:tcPr>
            <w:tcW w:type="dxa" w:w="4968"/>
          </w:tcPr>
          <w:p>
            <w:r>
              <w:rPr>
                <w:sz w:val="17"/>
              </w:rPr>
              <w:t>Revise, narrow, or reject the hypothesis unless a clearly documented context-specific reason justifies further testing.</w:t>
            </w:r>
          </w:p>
        </w:tc>
      </w:tr>
      <w:tr>
        <w:tc>
          <w:tcPr>
            <w:tcW w:type="dxa" w:w="4968"/>
          </w:tcPr>
          <w:p>
            <w:r>
              <w:rPr>
                <w:sz w:val="17"/>
              </w:rPr>
              <w:t>RESOLVECX-SPECIFIC GAP</w:t>
            </w:r>
          </w:p>
        </w:tc>
        <w:tc>
          <w:tcPr>
            <w:tcW w:type="dxa" w:w="4968"/>
          </w:tcPr>
          <w:p>
            <w:r>
              <w:rPr>
                <w:sz w:val="17"/>
              </w:rPr>
              <w:t>General theory may be established, but ResolveCX's proposed preparation, assessment, pathway, or intervention remains untested and requires direct evidence before effectiveness claims.</w:t>
            </w:r>
          </w:p>
        </w:tc>
      </w:tr>
    </w:tbl>
    <w:p>
      <w:pPr>
        <w:pStyle w:val="Heading2"/>
      </w:pPr>
      <w:r>
        <w:t>Hypothesis-Level Evidence Triage</w:t>
      </w:r>
    </w:p>
    <w:tbl>
      <w:tblPr>
        <w:tblStyle w:val="TableGrid"/>
        <w:tblW w:type="auto" w:w="0"/>
        <w:jc w:val="center"/>
        <w:tblLook w:firstColumn="1" w:firstRow="1" w:lastColumn="0" w:lastRow="0" w:noHBand="0" w:noVBand="1" w:val="04A0"/>
      </w:tblPr>
      <w:tblGrid>
        <w:gridCol w:w="3312"/>
        <w:gridCol w:w="3312"/>
        <w:gridCol w:w="3312"/>
      </w:tblGrid>
      <w:tr>
        <w:tc>
          <w:tcPr>
            <w:tcW w:type="dxa" w:w="3312"/>
            <w:shd w:fill="0B3A53"/>
          </w:tcPr>
          <w:p>
            <w:r>
              <w:rPr>
                <w:b/>
                <w:color w:val="FFFFFF"/>
                <w:sz w:val="18"/>
              </w:rPr>
              <w:t>Hypothesis</w:t>
            </w:r>
          </w:p>
        </w:tc>
        <w:tc>
          <w:tcPr>
            <w:tcW w:type="dxa" w:w="3312"/>
            <w:shd w:fill="0B3A53"/>
          </w:tcPr>
          <w:p>
            <w:r>
              <w:rPr>
                <w:b/>
                <w:color w:val="FFFFFF"/>
                <w:sz w:val="18"/>
              </w:rPr>
              <w:t>Current evidence decision</w:t>
            </w:r>
          </w:p>
        </w:tc>
        <w:tc>
          <w:tcPr>
            <w:tcW w:type="dxa" w:w="3312"/>
            <w:shd w:fill="0B3A53"/>
          </w:tcPr>
          <w:p>
            <w:r>
              <w:rPr>
                <w:b/>
                <w:color w:val="FFFFFF"/>
                <w:sz w:val="18"/>
              </w:rPr>
              <w:t>Implication for new data</w:t>
            </w:r>
          </w:p>
        </w:tc>
      </w:tr>
      <w:tr>
        <w:tc>
          <w:tcPr>
            <w:tcW w:type="dxa" w:w="3312"/>
          </w:tcPr>
          <w:p>
            <w:r>
              <w:rPr>
                <w:sz w:val="17"/>
              </w:rPr>
              <w:t>H1 — Relationship Quality</w:t>
            </w:r>
          </w:p>
        </w:tc>
        <w:tc>
          <w:tcPr>
            <w:tcW w:type="dxa" w:w="3312"/>
          </w:tcPr>
          <w:p>
            <w:r>
              <w:rPr>
                <w:sz w:val="17"/>
              </w:rPr>
              <w:t>ESTABLISHED FOUNDATION</w:t>
            </w:r>
          </w:p>
        </w:tc>
        <w:tc>
          <w:tcPr>
            <w:tcW w:type="dxa" w:w="3312"/>
          </w:tcPr>
          <w:p>
            <w:r>
              <w:rPr>
                <w:sz w:val="17"/>
              </w:rPr>
              <w:t>LMX meta-analysis already supports relationships with performance and work attitudes. Do not duplicate simply to show relationships exist.</w:t>
            </w:r>
          </w:p>
        </w:tc>
      </w:tr>
      <w:tr>
        <w:tc>
          <w:tcPr>
            <w:tcW w:type="dxa" w:w="3312"/>
          </w:tcPr>
          <w:p>
            <w:r>
              <w:rPr>
                <w:sz w:val="17"/>
              </w:rPr>
              <w:t>H2 — Feedback Environment</w:t>
            </w:r>
          </w:p>
        </w:tc>
        <w:tc>
          <w:tcPr>
            <w:tcW w:type="dxa" w:w="3312"/>
          </w:tcPr>
          <w:p>
            <w:r>
              <w:rPr>
                <w:sz w:val="17"/>
              </w:rPr>
              <w:t>ESTABLISHED FOUNDATION / CONTACT-CENTER TRANSFER</w:t>
            </w:r>
          </w:p>
        </w:tc>
        <w:tc>
          <w:tcPr>
            <w:tcW w:type="dxa" w:w="3312"/>
          </w:tcPr>
          <w:p>
            <w:r>
              <w:rPr>
                <w:sz w:val="17"/>
              </w:rPr>
              <w:t>Meta-analytic evidence supports feedback-environment relationships; contact-center-specific magnitude and mechanisms remain relevant.</w:t>
            </w:r>
          </w:p>
        </w:tc>
      </w:tr>
      <w:tr>
        <w:tc>
          <w:tcPr>
            <w:tcW w:type="dxa" w:w="3312"/>
          </w:tcPr>
          <w:p>
            <w:r>
              <w:rPr>
                <w:sz w:val="17"/>
              </w:rPr>
              <w:t>H3 — Early-Transition Effect</w:t>
            </w:r>
          </w:p>
        </w:tc>
        <w:tc>
          <w:tcPr>
            <w:tcW w:type="dxa" w:w="3312"/>
          </w:tcPr>
          <w:p>
            <w:r>
              <w:rPr>
                <w:sz w:val="17"/>
              </w:rPr>
              <w:t>RESOLVECX-SPECIFIC GAP</w:t>
            </w:r>
          </w:p>
        </w:tc>
        <w:tc>
          <w:tcPr>
            <w:tcW w:type="dxa" w:w="3312"/>
          </w:tcPr>
          <w:p>
            <w:r>
              <w:rPr>
                <w:sz w:val="17"/>
              </w:rPr>
              <w:t>The claim that supervisor effects are especially strong during the first 90 days requires longitudinal contact-center evidence.</w:t>
            </w:r>
          </w:p>
        </w:tc>
      </w:tr>
      <w:tr>
        <w:tc>
          <w:tcPr>
            <w:tcW w:type="dxa" w:w="3312"/>
          </w:tcPr>
          <w:p>
            <w:r>
              <w:rPr>
                <w:sz w:val="17"/>
              </w:rPr>
              <w:t>H4 — Trust as Mechanism</w:t>
            </w:r>
          </w:p>
        </w:tc>
        <w:tc>
          <w:tcPr>
            <w:tcW w:type="dxa" w:w="3312"/>
          </w:tcPr>
          <w:p>
            <w:r>
              <w:rPr>
                <w:sz w:val="17"/>
              </w:rPr>
              <w:t>SUPPORTED</w:t>
            </w:r>
          </w:p>
        </w:tc>
        <w:tc>
          <w:tcPr>
            <w:tcW w:type="dxa" w:w="3312"/>
          </w:tcPr>
          <w:p>
            <w:r>
              <w:rPr>
                <w:sz w:val="17"/>
              </w:rPr>
              <w:t>Meta-analytic leadership evidence supports trust as an important mediator; ResolveCX should test only the contact-center-specific pathway if decision-relevant.</w:t>
            </w:r>
          </w:p>
        </w:tc>
      </w:tr>
      <w:tr>
        <w:tc>
          <w:tcPr>
            <w:tcW w:type="dxa" w:w="3312"/>
          </w:tcPr>
          <w:p>
            <w:r>
              <w:rPr>
                <w:sz w:val="17"/>
              </w:rPr>
              <w:t>H5 — Coaching Quality Over Frequency</w:t>
            </w:r>
          </w:p>
        </w:tc>
        <w:tc>
          <w:tcPr>
            <w:tcW w:type="dxa" w:w="3312"/>
          </w:tcPr>
          <w:p>
            <w:r>
              <w:rPr>
                <w:sz w:val="17"/>
              </w:rPr>
              <w:t>SUPPORTED BUT DIRECT SUPERVISOR GAP</w:t>
            </w:r>
          </w:p>
        </w:tc>
        <w:tc>
          <w:tcPr>
            <w:tcW w:type="dxa" w:w="3312"/>
          </w:tcPr>
          <w:p>
            <w:r>
              <w:rPr>
                <w:sz w:val="17"/>
              </w:rPr>
              <w:t>General coaching research is supportive, but direct manager-subordinate coaching and contact-center outcomes need targeted evidence.</w:t>
            </w:r>
          </w:p>
        </w:tc>
      </w:tr>
      <w:tr>
        <w:tc>
          <w:tcPr>
            <w:tcW w:type="dxa" w:w="3312"/>
          </w:tcPr>
          <w:p>
            <w:r>
              <w:rPr>
                <w:sz w:val="17"/>
              </w:rPr>
              <w:t>H6 — Context Constrains Leadership</w:t>
            </w:r>
          </w:p>
        </w:tc>
        <w:tc>
          <w:tcPr>
            <w:tcW w:type="dxa" w:w="3312"/>
          </w:tcPr>
          <w:p>
            <w:r>
              <w:rPr>
                <w:sz w:val="17"/>
              </w:rPr>
              <w:t>SUPPORTED / STRUCTURAL CEILING TEST</w:t>
            </w:r>
          </w:p>
        </w:tc>
        <w:tc>
          <w:tcPr>
            <w:tcW w:type="dxa" w:w="3312"/>
          </w:tcPr>
          <w:p>
            <w:r>
              <w:rPr>
                <w:sz w:val="17"/>
              </w:rPr>
              <w:t>Organizational-context evidence supports this boundary. Primary research should estimate when structural conditions overwhelm supervisor contribution.</w:t>
            </w:r>
          </w:p>
        </w:tc>
      </w:tr>
      <w:tr>
        <w:tc>
          <w:tcPr>
            <w:tcW w:type="dxa" w:w="3312"/>
          </w:tcPr>
          <w:p>
            <w:r>
              <w:rPr>
                <w:sz w:val="17"/>
              </w:rPr>
              <w:t>H7 — Team/Peer Effects Matter Too</w:t>
            </w:r>
          </w:p>
        </w:tc>
        <w:tc>
          <w:tcPr>
            <w:tcW w:type="dxa" w:w="3312"/>
          </w:tcPr>
          <w:p>
            <w:r>
              <w:rPr>
                <w:sz w:val="17"/>
              </w:rPr>
              <w:t>ESTABLISHED COMPETING EXPLANATION</w:t>
            </w:r>
          </w:p>
        </w:tc>
        <w:tc>
          <w:tcPr>
            <w:tcW w:type="dxa" w:w="3312"/>
          </w:tcPr>
          <w:p>
            <w:r>
              <w:rPr>
                <w:sz w:val="17"/>
              </w:rPr>
              <w:t>Meta-analytic peer/team exchange evidence requires team effects to be modeled rather than assumed away.</w:t>
            </w:r>
          </w:p>
        </w:tc>
      </w:tr>
      <w:tr>
        <w:tc>
          <w:tcPr>
            <w:tcW w:type="dxa" w:w="3312"/>
          </w:tcPr>
          <w:p>
            <w:r>
              <w:rPr>
                <w:sz w:val="17"/>
              </w:rPr>
              <w:t>H8 — Supervisor Effects Vary</w:t>
            </w:r>
          </w:p>
        </w:tc>
        <w:tc>
          <w:tcPr>
            <w:tcW w:type="dxa" w:w="3312"/>
          </w:tcPr>
          <w:p>
            <w:r>
              <w:rPr>
                <w:sz w:val="17"/>
              </w:rPr>
              <w:t>ESTABLISHED PRINCIPLE / REPLICATION NEEDED</w:t>
            </w:r>
          </w:p>
        </w:tc>
        <w:tc>
          <w:tcPr>
            <w:tcW w:type="dxa" w:w="3312"/>
          </w:tcPr>
          <w:p>
            <w:r>
              <w:rPr>
                <w:sz w:val="17"/>
              </w:rPr>
              <w:t>Heterogeneity is expected; cross-employer replication is needed before portable effect-size claims.</w:t>
            </w:r>
          </w:p>
        </w:tc>
      </w:tr>
    </w:tbl>
    <w:p>
      <w:pPr>
        <w:pStyle w:val="Heading2"/>
      </w:pPr>
      <w:r>
        <w:t>Primary Data Trigger Rules</w:t>
      </w:r>
    </w:p>
    <w:p>
      <w:pPr>
        <w:pStyle w:val="ListBullet"/>
      </w:pPr>
      <w:r>
        <w:t>Do not collect interviews or surveys simply because they were listed in an earlier protocol version.</w:t>
      </w:r>
    </w:p>
    <w:p>
      <w:pPr>
        <w:pStyle w:val="ListBullet"/>
      </w:pPr>
      <w:r>
        <w:t>Before new data collection, document the exact unresolved question and why external evidence, public datasets, existing employer records, or validated measures cannot answer it sufficiently.</w:t>
      </w:r>
    </w:p>
    <w:p>
      <w:pPr>
        <w:pStyle w:val="ListBullet"/>
      </w:pPr>
      <w:r>
        <w:t>Prefer secondary analysis and de-identified employer operational data over self-report when they answer the question more directly.</w:t>
      </w:r>
    </w:p>
    <w:p>
      <w:pPr>
        <w:pStyle w:val="ListBullet"/>
      </w:pPr>
      <w:r>
        <w:t>Use interviews primarily for mechanisms, lived context, language, unexpected explanations, implementation detail, and construct discovery—not to re-prove mature general relationships.</w:t>
      </w:r>
    </w:p>
    <w:p>
      <w:pPr>
        <w:pStyle w:val="ListBullet"/>
      </w:pPr>
      <w:r>
        <w:t>Use surveys when a defined construct, prevalence estimate, comparison, moderator, or prediction cannot be answered adequately from existing evidence.</w:t>
      </w:r>
    </w:p>
    <w:p>
      <w:pPr>
        <w:pStyle w:val="ListBullet"/>
      </w:pPr>
      <w:r>
        <w:t>Use longitudinal data when temporal ordering or prediction matters. Use intervention/comparison designs when the claim concerns ResolveCX effectiveness.</w:t>
      </w:r>
    </w:p>
    <w:p>
      <w:pPr>
        <w:pStyle w:val="ListBullet"/>
      </w:pPr>
      <w:r>
        <w:t>Stop or narrow data collection when new evidence makes a question immaterial, redundant, or already sufficiently answered.</w:t>
      </w:r>
    </w:p>
    <w:p>
      <w:pPr>
        <w:pStyle w:val="ListBullet"/>
      </w:pPr>
      <w:r>
        <w:t>Preserve negative, null, adverse, and contradictory evidence in the same registry as supportive evidence.</w:t>
      </w:r>
    </w:p>
    <w:p>
      <w:pPr>
        <w:pStyle w:val="Heading2"/>
      </w:pPr>
      <w:r>
        <w:t>ResolveCX Proof Boundary</w:t>
      </w:r>
    </w:p>
    <w:p>
      <w:r>
        <w:t>External research may establish that a problem, construct, mechanism, or relationship exists. It cannot by itself establish that a ResolveCX intervention causes better outcomes. Claims that ResolveCX preparation improves proficiency, adaptation, retention, customer outcomes, career progression, or economic value require direct evaluation of the ResolveCX intervention using a design strong enough for the claim.</w:t>
      </w:r>
    </w:p>
    <w:p>
      <w:pPr>
        <w:pStyle w:val="Heading2"/>
      </w:pPr>
      <w:r>
        <w:t>Decision Record Required Before Any New Survey or Interview</w:t>
      </w:r>
    </w:p>
    <w:tbl>
      <w:tblPr>
        <w:tblStyle w:val="TableGrid"/>
        <w:tblW w:type="auto" w:w="0"/>
        <w:jc w:val="center"/>
        <w:tblLook w:firstColumn="1" w:firstRow="1" w:lastColumn="0" w:lastRow="0" w:noHBand="0" w:noVBand="1" w:val="04A0"/>
      </w:tblPr>
      <w:tblGrid>
        <w:gridCol w:w="4968"/>
        <w:gridCol w:w="4968"/>
      </w:tblGrid>
      <w:tr>
        <w:tc>
          <w:tcPr>
            <w:tcW w:type="dxa" w:w="4968"/>
            <w:shd w:fill="0B3A53"/>
          </w:tcPr>
          <w:p>
            <w:r>
              <w:rPr>
                <w:b/>
                <w:color w:val="FFFFFF"/>
                <w:sz w:val="18"/>
              </w:rPr>
              <w:t>Field</w:t>
            </w:r>
          </w:p>
        </w:tc>
        <w:tc>
          <w:tcPr>
            <w:tcW w:type="dxa" w:w="4968"/>
            <w:shd w:fill="0B3A53"/>
          </w:tcPr>
          <w:p>
            <w:r>
              <w:rPr>
                <w:b/>
                <w:color w:val="FFFFFF"/>
                <w:sz w:val="18"/>
              </w:rPr>
              <w:t>Required entry</w:t>
            </w:r>
          </w:p>
        </w:tc>
      </w:tr>
      <w:tr>
        <w:tc>
          <w:tcPr>
            <w:tcW w:type="dxa" w:w="4968"/>
          </w:tcPr>
          <w:p>
            <w:r>
              <w:rPr>
                <w:sz w:val="17"/>
              </w:rPr>
              <w:t>Unresolved question</w:t>
            </w:r>
          </w:p>
        </w:tc>
        <w:tc>
          <w:tcPr>
            <w:tcW w:type="dxa" w:w="4968"/>
          </w:tcPr>
          <w:p>
            <w:r>
              <w:rPr>
                <w:sz w:val="17"/>
              </w:rPr>
              <w:t>Exactly what remains unknown?</w:t>
            </w:r>
          </w:p>
        </w:tc>
      </w:tr>
      <w:tr>
        <w:tc>
          <w:tcPr>
            <w:tcW w:type="dxa" w:w="4968"/>
          </w:tcPr>
          <w:p>
            <w:r>
              <w:rPr>
                <w:sz w:val="17"/>
              </w:rPr>
              <w:t>Existing evidence reviewed</w:t>
            </w:r>
          </w:p>
        </w:tc>
        <w:tc>
          <w:tcPr>
            <w:tcW w:type="dxa" w:w="4968"/>
          </w:tcPr>
          <w:p>
            <w:r>
              <w:rPr>
                <w:sz w:val="17"/>
              </w:rPr>
              <w:t>What high-quality evidence already addresses it?</w:t>
            </w:r>
          </w:p>
        </w:tc>
      </w:tr>
      <w:tr>
        <w:tc>
          <w:tcPr>
            <w:tcW w:type="dxa" w:w="4968"/>
          </w:tcPr>
          <w:p>
            <w:r>
              <w:rPr>
                <w:sz w:val="17"/>
              </w:rPr>
              <w:t>Why insufficient</w:t>
            </w:r>
          </w:p>
        </w:tc>
        <w:tc>
          <w:tcPr>
            <w:tcW w:type="dxa" w:w="4968"/>
          </w:tcPr>
          <w:p>
            <w:r>
              <w:rPr>
                <w:sz w:val="17"/>
              </w:rPr>
              <w:t>Population, context, construct, recency, outcome, method, or causal limitation.</w:t>
            </w:r>
          </w:p>
        </w:tc>
      </w:tr>
      <w:tr>
        <w:tc>
          <w:tcPr>
            <w:tcW w:type="dxa" w:w="4968"/>
          </w:tcPr>
          <w:p>
            <w:r>
              <w:rPr>
                <w:sz w:val="17"/>
              </w:rPr>
              <w:t>Best next evidence source</w:t>
            </w:r>
          </w:p>
        </w:tc>
        <w:tc>
          <w:tcPr>
            <w:tcW w:type="dxa" w:w="4968"/>
          </w:tcPr>
          <w:p>
            <w:r>
              <w:rPr>
                <w:sz w:val="17"/>
              </w:rPr>
              <w:t>External dataset, employer data, interview, survey, longitudinal panel, intervention, or no further collection.</w:t>
            </w:r>
          </w:p>
        </w:tc>
      </w:tr>
      <w:tr>
        <w:tc>
          <w:tcPr>
            <w:tcW w:type="dxa" w:w="4968"/>
          </w:tcPr>
          <w:p>
            <w:r>
              <w:rPr>
                <w:sz w:val="17"/>
              </w:rPr>
              <w:t>Decision value</w:t>
            </w:r>
          </w:p>
        </w:tc>
        <w:tc>
          <w:tcPr>
            <w:tcW w:type="dxa" w:w="4968"/>
          </w:tcPr>
          <w:p>
            <w:r>
              <w:rPr>
                <w:sz w:val="17"/>
              </w:rPr>
              <w:t>What decision will this evidence change for ResolveCX?</w:t>
            </w:r>
          </w:p>
        </w:tc>
      </w:tr>
      <w:tr>
        <w:tc>
          <w:tcPr>
            <w:tcW w:type="dxa" w:w="4968"/>
          </w:tcPr>
          <w:p>
            <w:r>
              <w:rPr>
                <w:sz w:val="17"/>
              </w:rPr>
              <w:t>Stop rule</w:t>
            </w:r>
          </w:p>
        </w:tc>
        <w:tc>
          <w:tcPr>
            <w:tcW w:type="dxa" w:w="4968"/>
          </w:tcPr>
          <w:p>
            <w:r>
              <w:rPr>
                <w:sz w:val="17"/>
              </w:rPr>
              <w:t>What result would make further collection unnecessary?</w:t>
            </w:r>
          </w:p>
        </w:tc>
      </w:tr>
    </w:tbl>
    <w:p>
      <w:pPr>
        <w:pStyle w:val="Heading2"/>
      </w:pPr>
      <w:r>
        <w:t>Publication Language</w:t>
      </w:r>
    </w:p>
    <w:p>
      <w:r>
        <w:t>This study may be introduced publicly as Ongoing Research. Public materials must distinguish: (1) what external evidence already establishes; (2) what ResolveCX currently hypothesizes; (3) what remains unresolved; (4) what original data, if any, are being collected; and (5) the current finding status. Preliminary observations must not be presented as representative or validated findings.</w:t>
      </w:r>
    </w:p>
    <w:p>
      <w:pPr>
        <w:pStyle w:val="Heading2"/>
      </w:pPr>
      <w:r>
        <w:t>Research Quality and Release Standard</w:t>
      </w:r>
    </w:p>
    <w:p>
      <w:r>
        <w:t>Evidence sufficiency—not a predetermined number of interviews, survey responses, or citations—governs research decisions. Source-count targets remain evidence-development milestones, not publication prerequisites. Quality, independence, design strength, construct relevance, population fit, contradictory evidence, and decision usefulness take precedence over volume.</w:t>
      </w:r>
    </w:p>
    <w:sectPr w:rsidR="00FC693F" w:rsidRPr="0006063C" w:rsidSect="00034616">
      <w:headerReference w:type="default" r:id="rId9"/>
      <w:footerReference w:type="default" r:id="rId10"/>
      <w:pgSz w:w="12240" w:h="15840"/>
      <w:pgMar w:top="1008"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Research Protocol v1.1  •  Discovery / Evidence-Mapping Draft  •  August 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rPr>
        <w:sz w:val="17"/>
      </w:rPr>
      <w:t>ResolveCX Research Series  |  Study #004</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w:hAnsi="Aptos"/>
      <w:b/>
      <w:bCs/>
      <w:color w:val="0B3A53"/>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w:hAnsi="Aptos"/>
      <w:b/>
      <w:bCs/>
      <w:color w:val="00678E"/>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w:hAnsi="Aptos"/>
      <w:b/>
      <w:color w:val="17365D" w:themeColor="text2" w:themeShade="BF"/>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