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#005: The Change-Readiness Study</w:t>
      </w:r>
    </w:p>
    <w:p>
      <w:pPr>
        <w:jc w:val="center"/>
      </w:pPr>
      <w:r>
        <w:rPr>
          <w:i/>
          <w:sz w:val="26"/>
        </w:rPr>
        <w:t>What helps frontline contact-center employees adapt when technology, process, policy, expectations, staffing, and organizational priorities keep changing?</w:t>
      </w:r>
    </w:p>
    <w:p>
      <w:pPr>
        <w:jc w:val="center"/>
      </w:pPr>
      <w:r>
        <w:rPr>
          <w:b/>
          <w:color w:val="8A2D2D"/>
          <w:sz w:val="21"/>
        </w:rPr>
        <w:t>RESEARCH STATUS: ONGOING</w:t>
      </w:r>
    </w:p>
    <w:p>
      <w:pPr>
        <w:pStyle w:val="Heading1"/>
      </w:pPr>
      <w:r>
        <w:t>1. Research Integrity Statement</w:t>
      </w:r>
    </w:p>
    <w:p>
      <w:r>
        <w:t>Study #005 will investigate readiness and adaptation without assuming that resistance is an employee defect, that all change is beneficial, or that employees should simply become more resilient to poorly designed change. The study will distinguish individual adaptability from the quality, pace, sequencing, communication, training, resourcing, leadership, and operational consequences of the change itself. Findings that suggest organizational conditions matter more than individual readiness will be reported with equal weight.</w:t>
      </w:r>
    </w:p>
    <w:p>
      <w:pPr>
        <w:pStyle w:val="Heading1"/>
      </w:pPr>
      <w:r>
        <w:t>2. Central Research Question</w:t>
      </w:r>
    </w:p>
    <w:p>
      <w:r>
        <w:rPr>
          <w:b/>
        </w:rPr>
        <w:t>Among frontline contact-center employees experiencing significant workplace change, which individual, leadership, team, communication, training, and organizational conditions predict successful adaptation over time, and which factors predict fatigue, disengagement, performance disruption, or exit?</w:t>
      </w:r>
    </w:p>
    <w:p>
      <w:r>
        <w:t>Secondary questions: How much change can an operating environment absorb before readiness erodes? Which types of change create the greatest disruption? What should employees reasonably be prepared to adapt to, and what remains the employer’s responsibility to design and implement well?</w:t>
      </w:r>
    </w:p>
    <w:p>
      <w:pPr>
        <w:pStyle w:val="Heading1"/>
      </w:pPr>
      <w:r>
        <w:t>3. Position in the ResolveCX Research Program</w:t>
      </w:r>
    </w:p>
    <w:tbl>
      <w:tblPr>
        <w:tblStyle w:val="TableGrid"/>
        <w:tblW w:type="auto" w:w="0"/>
        <w:jc w:val="center"/>
        <w:tblLook w:firstColumn="1" w:firstRow="1" w:lastColumn="0" w:lastRow="0" w:noHBand="0" w:noVBand="1" w:val="04A0"/>
      </w:tblPr>
      <w:tblGrid>
        <w:gridCol w:w="3312"/>
        <w:gridCol w:w="3312"/>
        <w:gridCol w:w="3312"/>
      </w:tblGrid>
      <w:tr>
        <w:trPr>
          <w:tblHeader w:val="true"/>
          <w:cantSplit w:val="true"/>
        </w:trPr>
        <w:tc>
          <w:tcPr>
            <w:tcW w:type="dxa" w:w="3312"/>
            <w:shd w:fill="0B3A53"/>
          </w:tcPr>
          <w:p>
            <w:r>
              <w:rPr>
                <w:b/>
                <w:color w:val="FFFFFF"/>
              </w:rPr>
              <w:t>Study</w:t>
            </w:r>
          </w:p>
        </w:tc>
        <w:tc>
          <w:tcPr>
            <w:tcW w:type="dxa" w:w="3312"/>
            <w:shd w:fill="0B3A53"/>
          </w:tcPr>
          <w:p>
            <w:r>
              <w:rPr>
                <w:b/>
                <w:color w:val="FFFFFF"/>
              </w:rPr>
              <w:t>Primary Question</w:t>
            </w:r>
          </w:p>
        </w:tc>
        <w:tc>
          <w:tcPr>
            <w:tcW w:type="dxa" w:w="3312"/>
            <w:shd w:fill="0B3A53"/>
          </w:tcPr>
          <w:p>
            <w:r>
              <w:rPr>
                <w:b/>
                <w:color w:val="FFFFFF"/>
              </w:rPr>
              <w:t>Program Role</w:t>
            </w:r>
          </w:p>
        </w:tc>
      </w:tr>
      <w:tr>
        <w:trPr>
          <w:cantSplit w:val="true"/>
        </w:trPr>
        <w:tc>
          <w:tcPr>
            <w:tcW w:type="dxa" w:w="3312"/>
          </w:tcPr>
          <w:p>
            <w:r>
              <w:t>#001 — New-Hire Survival</w:t>
            </w:r>
          </w:p>
        </w:tc>
        <w:tc>
          <w:tcPr>
            <w:tcW w:type="dxa" w:w="3312"/>
          </w:tcPr>
          <w:p>
            <w:r>
              <w:t>Who succeeds, struggles, disengages, or exits?</w:t>
            </w:r>
          </w:p>
        </w:tc>
        <w:tc>
          <w:tcPr>
            <w:tcW w:type="dxa" w:w="3312"/>
          </w:tcPr>
          <w:p>
            <w:r>
              <w:t>Outcome architecture</w:t>
            </w:r>
          </w:p>
        </w:tc>
      </w:tr>
      <w:tr>
        <w:trPr>
          <w:cantSplit w:val="true"/>
        </w:trPr>
        <w:tc>
          <w:tcPr>
            <w:tcW w:type="dxa" w:w="3312"/>
          </w:tcPr>
          <w:p>
            <w:r>
              <w:t>#002 — Job Reality Gap</w:t>
            </w:r>
          </w:p>
        </w:tc>
        <w:tc>
          <w:tcPr>
            <w:tcW w:type="dxa" w:w="3312"/>
          </w:tcPr>
          <w:p>
            <w:r>
              <w:t>Where do expectations and experienced reality diverge?</w:t>
            </w:r>
          </w:p>
        </w:tc>
        <w:tc>
          <w:tcPr>
            <w:tcW w:type="dxa" w:w="3312"/>
          </w:tcPr>
          <w:p>
            <w:r>
              <w:t>Transition mechanism</w:t>
            </w:r>
          </w:p>
        </w:tc>
      </w:tr>
      <w:tr>
        <w:trPr>
          <w:cantSplit w:val="true"/>
        </w:trPr>
        <w:tc>
          <w:tcPr>
            <w:tcW w:type="dxa" w:w="3312"/>
          </w:tcPr>
          <w:p>
            <w:r>
              <w:t>#003 — KPI &amp; Business Literacy</w:t>
            </w:r>
          </w:p>
        </w:tc>
        <w:tc>
          <w:tcPr>
            <w:tcW w:type="dxa" w:w="3312"/>
          </w:tcPr>
          <w:p>
            <w:r>
              <w:t>What operating-system understanding matters?</w:t>
            </w:r>
          </w:p>
        </w:tc>
        <w:tc>
          <w:tcPr>
            <w:tcW w:type="dxa" w:w="3312"/>
          </w:tcPr>
          <w:p>
            <w:r>
              <w:t>Knowledge / judgment</w:t>
            </w:r>
          </w:p>
        </w:tc>
      </w:tr>
      <w:tr>
        <w:trPr>
          <w:cantSplit w:val="true"/>
        </w:trPr>
        <w:tc>
          <w:tcPr>
            <w:tcW w:type="dxa" w:w="3312"/>
          </w:tcPr>
          <w:p>
            <w:r>
              <w:t>#004 — Supervisor Effect</w:t>
            </w:r>
          </w:p>
        </w:tc>
        <w:tc>
          <w:tcPr>
            <w:tcW w:type="dxa" w:w="3312"/>
          </w:tcPr>
          <w:p>
            <w:r>
              <w:t>What incremental difference does the immediate leader make?</w:t>
            </w:r>
          </w:p>
        </w:tc>
        <w:tc>
          <w:tcPr>
            <w:tcW w:type="dxa" w:w="3312"/>
          </w:tcPr>
          <w:p>
            <w:r>
              <w:t>Leadership environment</w:t>
            </w:r>
          </w:p>
        </w:tc>
      </w:tr>
      <w:tr>
        <w:trPr>
          <w:cantSplit w:val="true"/>
        </w:trPr>
        <w:tc>
          <w:tcPr>
            <w:tcW w:type="dxa" w:w="3312"/>
          </w:tcPr>
          <w:p>
            <w:r>
              <w:t>#005 — Change Readiness</w:t>
            </w:r>
          </w:p>
        </w:tc>
        <w:tc>
          <w:tcPr>
            <w:tcW w:type="dxa" w:w="3312"/>
          </w:tcPr>
          <w:p>
            <w:r>
              <w:t>What predicts effective adaptation during repeated workplace change?</w:t>
            </w:r>
          </w:p>
        </w:tc>
        <w:tc>
          <w:tcPr>
            <w:tcW w:type="dxa" w:w="3312"/>
          </w:tcPr>
          <w:p>
            <w:r>
              <w:t>Adaptation / implementation environment</w:t>
            </w:r>
          </w:p>
        </w:tc>
      </w:tr>
    </w:tbl>
    <w:p>
      <w:pPr>
        <w:pStyle w:val="Heading1"/>
      </w:pPr>
      <w:r>
        <w:t>4. What “Change Readiness” Means in This Study</w:t>
      </w:r>
    </w:p>
    <w:p>
      <w:r>
        <w:t>Change readiness will not be treated as a single personality trait. The study separates readiness before a change, the implementation environment during change, and actual adaptation after change. It also distinguishes willingness from capability: an employee can support a change yet lack adequate training, time, tools, authority, or staffing to implement it successfully.</w:t>
      </w:r>
    </w:p>
    <w:tbl>
      <w:tblPr>
        <w:tblStyle w:val="TableGrid"/>
        <w:tblW w:type="auto" w:w="0"/>
        <w:jc w:val="center"/>
        <w:tblLook w:firstColumn="1" w:firstRow="1" w:lastColumn="0" w:lastRow="0" w:noHBand="0" w:noVBand="1" w:val="04A0"/>
      </w:tblPr>
      <w:tblGrid>
        <w:gridCol w:w="3312"/>
        <w:gridCol w:w="3312"/>
        <w:gridCol w:w="3312"/>
      </w:tblGrid>
      <w:tr>
        <w:trPr>
          <w:tblHeader w:val="true"/>
          <w:cantSplit w:val="true"/>
        </w:trPr>
        <w:tc>
          <w:tcPr>
            <w:tcW w:type="dxa" w:w="3312"/>
            <w:shd w:fill="0B3A53"/>
          </w:tcPr>
          <w:p>
            <w:r>
              <w:rPr>
                <w:b/>
                <w:color w:val="FFFFFF"/>
              </w:rPr>
              <w:t>Layer</w:t>
            </w:r>
          </w:p>
        </w:tc>
        <w:tc>
          <w:tcPr>
            <w:tcW w:type="dxa" w:w="3312"/>
            <w:shd w:fill="0B3A53"/>
          </w:tcPr>
          <w:p>
            <w:r>
              <w:rPr>
                <w:b/>
                <w:color w:val="FFFFFF"/>
              </w:rPr>
              <w:t>Core Question</w:t>
            </w:r>
          </w:p>
        </w:tc>
        <w:tc>
          <w:tcPr>
            <w:tcW w:type="dxa" w:w="3312"/>
            <w:shd w:fill="0B3A53"/>
          </w:tcPr>
          <w:p>
            <w:r>
              <w:rPr>
                <w:b/>
                <w:color w:val="FFFFFF"/>
              </w:rPr>
              <w:t>Illustrative Constructs</w:t>
            </w:r>
          </w:p>
        </w:tc>
      </w:tr>
      <w:tr>
        <w:trPr>
          <w:cantSplit w:val="true"/>
        </w:trPr>
        <w:tc>
          <w:tcPr>
            <w:tcW w:type="dxa" w:w="3312"/>
          </w:tcPr>
          <w:p>
            <w:r>
              <w:t>Readiness before change</w:t>
            </w:r>
          </w:p>
        </w:tc>
        <w:tc>
          <w:tcPr>
            <w:tcW w:type="dxa" w:w="3312"/>
          </w:tcPr>
          <w:p>
            <w:r>
              <w:t>Do people understand, believe they can cope, and see a credible rationale?</w:t>
            </w:r>
          </w:p>
        </w:tc>
        <w:tc>
          <w:tcPr>
            <w:tcW w:type="dxa" w:w="3312"/>
          </w:tcPr>
          <w:p>
            <w:r>
              <w:t>Change-related information, self-efficacy, perceived necessity, trust, prior change experience</w:t>
            </w:r>
          </w:p>
        </w:tc>
      </w:tr>
      <w:tr>
        <w:trPr>
          <w:cantSplit w:val="true"/>
        </w:trPr>
        <w:tc>
          <w:tcPr>
            <w:tcW w:type="dxa" w:w="3312"/>
          </w:tcPr>
          <w:p>
            <w:r>
              <w:t>Implementation environment</w:t>
            </w:r>
          </w:p>
        </w:tc>
        <w:tc>
          <w:tcPr>
            <w:tcW w:type="dxa" w:w="3312"/>
          </w:tcPr>
          <w:p>
            <w:r>
              <w:t>Is the organization making successful adaptation possible?</w:t>
            </w:r>
          </w:p>
        </w:tc>
        <w:tc>
          <w:tcPr>
            <w:tcW w:type="dxa" w:w="3312"/>
          </w:tcPr>
          <w:p>
            <w:r>
              <w:t>Training, resources, workload, sequencing, leader support, participation, psychological safety, system reliability</w:t>
            </w:r>
          </w:p>
        </w:tc>
      </w:tr>
      <w:tr>
        <w:trPr>
          <w:cantSplit w:val="true"/>
        </w:trPr>
        <w:tc>
          <w:tcPr>
            <w:tcW w:type="dxa" w:w="3312"/>
          </w:tcPr>
          <w:p>
            <w:r>
              <w:t>Adaptation behavior</w:t>
            </w:r>
          </w:p>
        </w:tc>
        <w:tc>
          <w:tcPr>
            <w:tcW w:type="dxa" w:w="3312"/>
          </w:tcPr>
          <w:p>
            <w:r>
              <w:t>What do employees actually do as the change unfolds?</w:t>
            </w:r>
          </w:p>
        </w:tc>
        <w:tc>
          <w:tcPr>
            <w:tcW w:type="dxa" w:w="3312"/>
          </w:tcPr>
          <w:p>
            <w:r>
              <w:t>Learning, experimentation, help-seeking, process adoption, problem escalation, workarounds</w:t>
            </w:r>
          </w:p>
        </w:tc>
      </w:tr>
      <w:tr>
        <w:trPr>
          <w:cantSplit w:val="true"/>
        </w:trPr>
        <w:tc>
          <w:tcPr>
            <w:tcW w:type="dxa" w:w="3312"/>
          </w:tcPr>
          <w:p>
            <w:r>
              <w:t>Sustainability</w:t>
            </w:r>
          </w:p>
        </w:tc>
        <w:tc>
          <w:tcPr>
            <w:tcW w:type="dxa" w:w="3312"/>
          </w:tcPr>
          <w:p>
            <w:r>
              <w:t>Can people continue adapting without depletion?</w:t>
            </w:r>
          </w:p>
        </w:tc>
        <w:tc>
          <w:tcPr>
            <w:tcW w:type="dxa" w:w="3312"/>
          </w:tcPr>
          <w:p>
            <w:r>
              <w:t>Change fatigue, exhaustion, cynicism, recovery, workload accumulation</w:t>
            </w:r>
          </w:p>
        </w:tc>
      </w:tr>
      <w:tr>
        <w:trPr>
          <w:cantSplit w:val="true"/>
        </w:trPr>
        <w:tc>
          <w:tcPr>
            <w:tcW w:type="dxa" w:w="3312"/>
          </w:tcPr>
          <w:p>
            <w:r>
              <w:t>Outcome</w:t>
            </w:r>
          </w:p>
        </w:tc>
        <w:tc>
          <w:tcPr>
            <w:tcW w:type="dxa" w:w="3312"/>
          </w:tcPr>
          <w:p>
            <w:r>
              <w:t>Did the change produce intended results without unacceptable harm?</w:t>
            </w:r>
          </w:p>
        </w:tc>
        <w:tc>
          <w:tcPr>
            <w:tcW w:type="dxa" w:w="3312"/>
          </w:tcPr>
          <w:p>
            <w:r>
              <w:t>Proficiency, quality, CX, productivity, adoption, errors, retention, employee well-being</w:t>
            </w:r>
          </w:p>
        </w:tc>
      </w:tr>
    </w:tbl>
    <w:p>
      <w:pPr>
        <w:pStyle w:val="Heading1"/>
      </w:pPr>
      <w:r>
        <w:t>5. Hypotheses</w:t>
      </w:r>
    </w:p>
    <w:p>
      <w:r>
        <w:rPr>
          <w:b/>
        </w:rPr>
        <w:t>H1 — Information and Efficacy</w:t>
      </w:r>
      <w:r>
        <w:t>: Clear, credible, timely change-related information and greater change self-efficacy will be associated with stronger adaptation.</w:t>
      </w:r>
    </w:p>
    <w:p>
      <w:r>
        <w:rPr>
          <w:b/>
        </w:rPr>
        <w:t>H2 — Adaptability Is Context-Dependent</w:t>
      </w:r>
      <w:r>
        <w:t>: Individual adaptability will predict change support and learning more strongly when employees experience credible leadership, trust, and adequate implementation support.</w:t>
      </w:r>
    </w:p>
    <w:p>
      <w:r>
        <w:rPr>
          <w:b/>
        </w:rPr>
        <w:t>H3 — Change Load / Fatigue</w:t>
      </w:r>
      <w:r>
        <w:t>: The accumulation, overlap, frequency, and perceived incompleteness of changes will predict exhaustion, cynicism, errors, withdrawal, and lower readiness for subsequent changes.</w:t>
      </w:r>
    </w:p>
    <w:p>
      <w:r>
        <w:rPr>
          <w:b/>
        </w:rPr>
        <w:t>H4 — Supervisor Translation</w:t>
      </w:r>
      <w:r>
        <w:t>: Immediate supervisors will influence readiness partly by translating uncertainty into priorities, meaning, resources, and psychologically safe learning behavior.</w:t>
      </w:r>
    </w:p>
    <w:p>
      <w:r>
        <w:rPr>
          <w:b/>
        </w:rPr>
        <w:t>H5 — Participation and Voice</w:t>
      </w:r>
      <w:r>
        <w:t>: Meaningful opportunities to surface implementation risks and provide input will be associated with stronger adoption and fewer harmful workarounds, where employee input can realistically affect implementation.</w:t>
      </w:r>
    </w:p>
    <w:p>
      <w:r>
        <w:rPr>
          <w:b/>
        </w:rPr>
        <w:t>H6 — Training Transfer</w:t>
      </w:r>
      <w:r>
        <w:t>: Training quality alone will be insufficient when employees lack protected practice time, stable systems, reinforcement, or manageable workload during implementation.</w:t>
      </w:r>
    </w:p>
    <w:p>
      <w:r>
        <w:rPr>
          <w:b/>
        </w:rPr>
        <w:t>H7 — Change Type Matters</w:t>
      </w:r>
      <w:r>
        <w:t>: Technology, process, policy, organizational restructuring, metric, staffing, and role-scope changes will have different readiness and adaptation profiles.</w:t>
      </w:r>
    </w:p>
    <w:p>
      <w:r>
        <w:rPr>
          <w:b/>
        </w:rPr>
        <w:t>H8 — Structural Readiness</w:t>
      </w:r>
      <w:r>
        <w:t>: Team and organizational readiness will explain meaningful variance beyond individual adaptability.</w:t>
      </w:r>
    </w:p>
    <w:p>
      <w:r>
        <w:rPr>
          <w:b/>
        </w:rPr>
        <w:t>H9 — Change Saturation</w:t>
      </w:r>
      <w:r>
        <w:t>: There will be conditions under which additional change produces diminishing or negative returns because operating capacity for learning and implementation is exhausted.</w:t>
      </w:r>
    </w:p>
    <w:p>
      <w:pPr>
        <w:pStyle w:val="Heading1"/>
        <w:pageBreakBefore/>
      </w:pPr>
      <w:r>
        <w:t>6. Contact-Center Change Taxonomy</w:t>
      </w:r>
    </w:p>
    <w:tbl>
      <w:tblPr>
        <w:tblStyle w:val="TableGrid"/>
        <w:tblW w:type="auto" w:w="0"/>
        <w:jc w:val="center"/>
        <w:tblLook w:firstColumn="1" w:firstRow="1" w:lastColumn="0" w:lastRow="0" w:noHBand="0" w:noVBand="1" w:val="04A0"/>
      </w:tblPr>
      <w:tblGrid>
        <w:gridCol w:w="3312"/>
        <w:gridCol w:w="3312"/>
        <w:gridCol w:w="3312"/>
      </w:tblGrid>
      <w:tr>
        <w:trPr>
          <w:tblHeader w:val="true"/>
          <w:cantSplit w:val="true"/>
        </w:trPr>
        <w:tc>
          <w:tcPr>
            <w:tcW w:type="dxa" w:w="3312"/>
            <w:shd w:fill="0B3A53"/>
          </w:tcPr>
          <w:p>
            <w:r>
              <w:rPr>
                <w:b/>
                <w:color w:val="FFFFFF"/>
              </w:rPr>
              <w:t>Change Type</w:t>
            </w:r>
          </w:p>
        </w:tc>
        <w:tc>
          <w:tcPr>
            <w:tcW w:type="dxa" w:w="3312"/>
            <w:shd w:fill="0B3A53"/>
          </w:tcPr>
          <w:p>
            <w:r>
              <w:rPr>
                <w:b/>
                <w:color w:val="FFFFFF"/>
              </w:rPr>
              <w:t>Examples</w:t>
            </w:r>
          </w:p>
        </w:tc>
        <w:tc>
          <w:tcPr>
            <w:tcW w:type="dxa" w:w="3312"/>
            <w:shd w:fill="0B3A53"/>
          </w:tcPr>
          <w:p>
            <w:r>
              <w:rPr>
                <w:b/>
                <w:color w:val="FFFFFF"/>
              </w:rPr>
              <w:t>Potential Risk</w:t>
            </w:r>
          </w:p>
        </w:tc>
      </w:tr>
      <w:tr>
        <w:trPr>
          <w:cantSplit w:val="true"/>
        </w:trPr>
        <w:tc>
          <w:tcPr>
            <w:tcW w:type="dxa" w:w="3312"/>
          </w:tcPr>
          <w:p>
            <w:r>
              <w:t>Technology</w:t>
            </w:r>
          </w:p>
        </w:tc>
        <w:tc>
          <w:tcPr>
            <w:tcW w:type="dxa" w:w="3312"/>
          </w:tcPr>
          <w:p>
            <w:r>
              <w:t>CRM, telephony, AI tools, knowledge systems, workflow automation</w:t>
            </w:r>
          </w:p>
        </w:tc>
        <w:tc>
          <w:tcPr>
            <w:tcW w:type="dxa" w:w="3312"/>
          </w:tcPr>
          <w:p>
            <w:r>
              <w:t>Learning burden, instability, workarounds, loss of confidence</w:t>
            </w:r>
          </w:p>
        </w:tc>
      </w:tr>
      <w:tr>
        <w:trPr>
          <w:cantSplit w:val="true"/>
        </w:trPr>
        <w:tc>
          <w:tcPr>
            <w:tcW w:type="dxa" w:w="3312"/>
          </w:tcPr>
          <w:p>
            <w:r>
              <w:t>Process</w:t>
            </w:r>
          </w:p>
        </w:tc>
        <w:tc>
          <w:tcPr>
            <w:tcW w:type="dxa" w:w="3312"/>
          </w:tcPr>
          <w:p>
            <w:r>
              <w:t>Call flow, documentation, escalation, QA process</w:t>
            </w:r>
          </w:p>
        </w:tc>
        <w:tc>
          <w:tcPr>
            <w:tcW w:type="dxa" w:w="3312"/>
          </w:tcPr>
          <w:p>
            <w:r>
              <w:t>Role ambiguity, inconsistent execution</w:t>
            </w:r>
          </w:p>
        </w:tc>
      </w:tr>
      <w:tr>
        <w:trPr>
          <w:cantSplit w:val="true"/>
        </w:trPr>
        <w:tc>
          <w:tcPr>
            <w:tcW w:type="dxa" w:w="3312"/>
          </w:tcPr>
          <w:p>
            <w:r>
              <w:t>Policy / compliance</w:t>
            </w:r>
          </w:p>
        </w:tc>
        <w:tc>
          <w:tcPr>
            <w:tcW w:type="dxa" w:w="3312"/>
          </w:tcPr>
          <w:p>
            <w:r>
              <w:t>Eligibility, underwriting, privacy, regulatory or service rules</w:t>
            </w:r>
          </w:p>
        </w:tc>
        <w:tc>
          <w:tcPr>
            <w:tcW w:type="dxa" w:w="3312"/>
          </w:tcPr>
          <w:p>
            <w:r>
              <w:t>Error risk, cognitive load, customer conflict</w:t>
            </w:r>
          </w:p>
        </w:tc>
      </w:tr>
      <w:tr>
        <w:trPr>
          <w:cantSplit w:val="true"/>
        </w:trPr>
        <w:tc>
          <w:tcPr>
            <w:tcW w:type="dxa" w:w="3312"/>
          </w:tcPr>
          <w:p>
            <w:r>
              <w:t>Metrics / priorities</w:t>
            </w:r>
          </w:p>
        </w:tc>
        <w:tc>
          <w:tcPr>
            <w:tcW w:type="dxa" w:w="3312"/>
          </w:tcPr>
          <w:p>
            <w:r>
              <w:t>Targets, scorecards, incentive emphasis, performance definitions</w:t>
            </w:r>
          </w:p>
        </w:tc>
        <w:tc>
          <w:tcPr>
            <w:tcW w:type="dxa" w:w="3312"/>
          </w:tcPr>
          <w:p>
            <w:r>
              <w:t>Goal conflict, gaming, uncertainty</w:t>
            </w:r>
          </w:p>
        </w:tc>
      </w:tr>
      <w:tr>
        <w:trPr>
          <w:cantSplit w:val="true"/>
        </w:trPr>
        <w:tc>
          <w:tcPr>
            <w:tcW w:type="dxa" w:w="3312"/>
          </w:tcPr>
          <w:p>
            <w:r>
              <w:t>Staffing / WFM</w:t>
            </w:r>
          </w:p>
        </w:tc>
        <w:tc>
          <w:tcPr>
            <w:tcW w:type="dxa" w:w="3312"/>
          </w:tcPr>
          <w:p>
            <w:r>
              <w:t>Schedules, staffing model, channel allocation, mandatory queue changes</w:t>
            </w:r>
          </w:p>
        </w:tc>
        <w:tc>
          <w:tcPr>
            <w:tcW w:type="dxa" w:w="3312"/>
          </w:tcPr>
          <w:p>
            <w:r>
              <w:t>Capacity pressure, fatigue, fairness concerns</w:t>
            </w:r>
          </w:p>
        </w:tc>
      </w:tr>
      <w:tr>
        <w:trPr>
          <w:cantSplit w:val="true"/>
        </w:trPr>
        <w:tc>
          <w:tcPr>
            <w:tcW w:type="dxa" w:w="3312"/>
          </w:tcPr>
          <w:p>
            <w:r>
              <w:t>Product / service</w:t>
            </w:r>
          </w:p>
        </w:tc>
        <w:tc>
          <w:tcPr>
            <w:tcW w:type="dxa" w:w="3312"/>
          </w:tcPr>
          <w:p>
            <w:r>
              <w:t>New products, markets, customer segments, service scope</w:t>
            </w:r>
          </w:p>
        </w:tc>
        <w:tc>
          <w:tcPr>
            <w:tcW w:type="dxa" w:w="3312"/>
          </w:tcPr>
          <w:p>
            <w:r>
              <w:t>Knowledge burden, longer handling, increased escalation</w:t>
            </w:r>
          </w:p>
        </w:tc>
      </w:tr>
      <w:tr>
        <w:trPr>
          <w:cantSplit w:val="true"/>
        </w:trPr>
        <w:tc>
          <w:tcPr>
            <w:tcW w:type="dxa" w:w="3312"/>
          </w:tcPr>
          <w:p>
            <w:r>
              <w:t>Organization</w:t>
            </w:r>
          </w:p>
        </w:tc>
        <w:tc>
          <w:tcPr>
            <w:tcW w:type="dxa" w:w="3312"/>
          </w:tcPr>
          <w:p>
            <w:r>
              <w:t>Merger, reorganization, new leadership, outsourcing, centralization</w:t>
            </w:r>
          </w:p>
        </w:tc>
        <w:tc>
          <w:tcPr>
            <w:tcW w:type="dxa" w:w="3312"/>
          </w:tcPr>
          <w:p>
            <w:r>
              <w:t>Identity disruption, trust, role insecurity</w:t>
            </w:r>
          </w:p>
        </w:tc>
      </w:tr>
      <w:tr>
        <w:trPr>
          <w:cantSplit w:val="true"/>
        </w:trPr>
        <w:tc>
          <w:tcPr>
            <w:tcW w:type="dxa" w:w="3312"/>
          </w:tcPr>
          <w:p>
            <w:r>
              <w:t>Role / career</w:t>
            </w:r>
          </w:p>
        </w:tc>
        <w:tc>
          <w:tcPr>
            <w:tcW w:type="dxa" w:w="3312"/>
          </w:tcPr>
          <w:p>
            <w:r>
              <w:t>Expanded responsibilities, multiskilling, supervisory expectations</w:t>
            </w:r>
          </w:p>
        </w:tc>
        <w:tc>
          <w:tcPr>
            <w:tcW w:type="dxa" w:w="3312"/>
          </w:tcPr>
          <w:p>
            <w:r>
              <w:t>Capability gap, workload, opportunity or role overload</w:t>
            </w:r>
          </w:p>
        </w:tc>
      </w:tr>
    </w:tbl>
    <w:p>
      <w:pPr>
        <w:pStyle w:val="Heading1"/>
      </w:pPr>
      <w:r>
        <w:t>7. Evidence Foundation and Source Target</w:t>
      </w:r>
    </w:p>
    <w:p>
      <w:r>
        <w:t>The protocol begins with nine anchor evidence streams spanning meta-analysis, longitudinal change research, leadership/readiness research, and contact-center-specific implementation studies. Before confirmatory testing, the Evidence Registry should contain at least 25 high-relevance sources, including at least 10 meta-analyses/systematic reviews or strong longitudinal/experimental studies; at least 5 contact-center/customer-service-specific empirical sources; at least 3 measurement/methodology authorities; and explicit evidence capable of weakening the readiness thesis.</w:t>
      </w:r>
    </w:p>
    <w:tbl>
      <w:tblPr>
        <w:tblStyle w:val="TableGrid"/>
        <w:tblW w:type="auto" w:w="0"/>
        <w:jc w:val="center"/>
        <w:tblLook w:firstColumn="1" w:firstRow="1" w:lastColumn="0" w:lastRow="0" w:noHBand="0" w:noVBand="1" w:val="04A0"/>
      </w:tblPr>
      <w:tblGrid>
        <w:gridCol w:w="3312"/>
        <w:gridCol w:w="3312"/>
        <w:gridCol w:w="3312"/>
      </w:tblGrid>
      <w:tr>
        <w:trPr>
          <w:tblHeader w:val="true"/>
          <w:cantSplit w:val="true"/>
        </w:trPr>
        <w:tc>
          <w:tcPr>
            <w:tcW w:type="dxa" w:w="3312"/>
            <w:shd w:fill="0B3A53"/>
          </w:tcPr>
          <w:p>
            <w:r>
              <w:rPr>
                <w:b/>
                <w:color w:val="FFFFFF"/>
              </w:rPr>
              <w:t>Anchor Evidence</w:t>
            </w:r>
          </w:p>
        </w:tc>
        <w:tc>
          <w:tcPr>
            <w:tcW w:type="dxa" w:w="3312"/>
            <w:shd w:fill="0B3A53"/>
          </w:tcPr>
          <w:p>
            <w:r>
              <w:rPr>
                <w:b/>
                <w:color w:val="FFFFFF"/>
              </w:rPr>
              <w:t>Contribution</w:t>
            </w:r>
          </w:p>
        </w:tc>
        <w:tc>
          <w:tcPr>
            <w:tcW w:type="dxa" w:w="3312"/>
            <w:shd w:fill="0B3A53"/>
          </w:tcPr>
          <w:p>
            <w:r>
              <w:rPr>
                <w:b/>
                <w:color w:val="FFFFFF"/>
              </w:rPr>
              <w:t>Caution / Boundary</w:t>
            </w:r>
          </w:p>
        </w:tc>
      </w:tr>
      <w:tr>
        <w:trPr>
          <w:cantSplit w:val="true"/>
        </w:trPr>
        <w:tc>
          <w:tcPr>
            <w:tcW w:type="dxa" w:w="3312"/>
          </w:tcPr>
          <w:p>
            <w:r>
              <w:t>Peng et al. (2021), Journal of Applied Behavioral Science — meta-analysis</w:t>
            </w:r>
          </w:p>
        </w:tc>
        <w:tc>
          <w:tcPr>
            <w:tcW w:type="dxa" w:w="3312"/>
          </w:tcPr>
          <w:p>
            <w:r>
              <w:t>30 empirical studies, 39 independent effects, 12,240 participants. Transformational leadership related positively to commitment, openness and readiness for change, and negatively to resistance/cynicism.</w:t>
            </w:r>
          </w:p>
        </w:tc>
        <w:tc>
          <w:tcPr>
            <w:tcW w:type="dxa" w:w="3312"/>
          </w:tcPr>
          <w:p>
            <w:r>
              <w:t>Support for change was nonsignificant, showing that readiness-related attitudes do not map uniformly to behavior.</w:t>
            </w:r>
          </w:p>
        </w:tc>
      </w:tr>
      <w:tr>
        <w:trPr>
          <w:cantSplit w:val="true"/>
        </w:trPr>
        <w:tc>
          <w:tcPr>
            <w:tcW w:type="dxa" w:w="3312"/>
          </w:tcPr>
          <w:p>
            <w:r>
              <w:t>Jimmieson, Terry &amp; Callan (2004), Journal of Occupational Health Psychology — longitudinal</w:t>
            </w:r>
          </w:p>
        </w:tc>
        <w:tc>
          <w:tcPr>
            <w:tcW w:type="dxa" w:w="3312"/>
          </w:tcPr>
          <w:p>
            <w:r>
              <w:t>589 employees during an 18-month regionalization; information related to outcomes partly through change self-efficacy; effects were examined again at two-year follow-up.</w:t>
            </w:r>
          </w:p>
        </w:tc>
        <w:tc>
          <w:tcPr>
            <w:tcW w:type="dxa" w:w="3312"/>
          </w:tcPr>
          <w:p>
            <w:r>
              <w:t>Government setting; mechanisms may not generalize directly to contact centers.</w:t>
            </w:r>
          </w:p>
        </w:tc>
      </w:tr>
      <w:tr>
        <w:trPr>
          <w:cantSplit w:val="true"/>
        </w:trPr>
        <w:tc>
          <w:tcPr>
            <w:tcW w:type="dxa" w:w="3312"/>
          </w:tcPr>
          <w:p>
            <w:r>
              <w:t>Neves &amp; van Dam (2025), Journal of Applied Behavioral Science — two-wave study</w:t>
            </w:r>
          </w:p>
        </w:tc>
        <w:tc>
          <w:tcPr>
            <w:tcW w:type="dxa" w:w="3312"/>
          </w:tcPr>
          <w:p>
            <w:r>
              <w:t>244 employees undergoing substantial change; adaptability and leader-member exchange jointly informed trust/support for change.</w:t>
            </w:r>
          </w:p>
        </w:tc>
        <w:tc>
          <w:tcPr>
            <w:tcW w:type="dxa" w:w="3312"/>
          </w:tcPr>
          <w:p>
            <w:r>
              <w:t>Shows adaptability is context-dependent rather than a stand-alone employee trait.</w:t>
            </w:r>
          </w:p>
        </w:tc>
      </w:tr>
      <w:tr>
        <w:trPr>
          <w:cantSplit w:val="true"/>
        </w:trPr>
        <w:tc>
          <w:tcPr>
            <w:tcW w:type="dxa" w:w="3312"/>
          </w:tcPr>
          <w:p>
            <w:r>
              <w:t>Harvey et al. (2024), multilevel change-readiness study</w:t>
            </w:r>
          </w:p>
        </w:tc>
        <w:tc>
          <w:tcPr>
            <w:tcW w:type="dxa" w:w="3312"/>
          </w:tcPr>
          <w:p>
            <w:r>
              <w:t>372 employees and 62 managers across 74 teams; manager exhaustion indirectly undermined team readiness through laissez-faire leadership and psychological safety.</w:t>
            </w:r>
          </w:p>
        </w:tc>
        <w:tc>
          <w:tcPr>
            <w:tcW w:type="dxa" w:w="3312"/>
          </w:tcPr>
          <w:p>
            <w:r>
              <w:t>Manager capacity is itself a change resource; leader effects cannot be isolated from leader strain.</w:t>
            </w:r>
          </w:p>
        </w:tc>
      </w:tr>
      <w:tr>
        <w:trPr>
          <w:cantSplit w:val="true"/>
        </w:trPr>
        <w:tc>
          <w:tcPr>
            <w:tcW w:type="dxa" w:w="3312"/>
          </w:tcPr>
          <w:p>
            <w:r>
              <w:t>Ferede &amp; Getahun (2026), Journal of Innovation and Entrepreneurship — systematic/meta-analysis</w:t>
            </w:r>
          </w:p>
        </w:tc>
        <w:tc>
          <w:tcPr>
            <w:tcW w:type="dxa" w:w="3312"/>
          </w:tcPr>
          <w:p>
            <w:r>
              <w:t>Synthesizes strategic leadership/change-management evidence and mechanisms.</w:t>
            </w:r>
          </w:p>
        </w:tc>
        <w:tc>
          <w:tcPr>
            <w:tcW w:type="dxa" w:w="3312"/>
          </w:tcPr>
          <w:p>
            <w:r>
              <w:t>Broad organizational evidence; contact-center specificity still required.</w:t>
            </w:r>
          </w:p>
        </w:tc>
      </w:tr>
      <w:tr>
        <w:trPr>
          <w:cantSplit w:val="true"/>
        </w:trPr>
        <w:tc>
          <w:tcPr>
            <w:tcW w:type="dxa" w:w="3312"/>
          </w:tcPr>
          <w:p>
            <w:r>
              <w:t>Workman (2004), Journal of Organizational Behavior — call-center field experiment</w:t>
            </w:r>
          </w:p>
        </w:tc>
        <w:tc>
          <w:tcPr>
            <w:tcW w:type="dxa" w:w="3312"/>
          </w:tcPr>
          <w:p>
            <w:r>
              <w:t>Randomized pretest-posttest/control design with 149 technology call-center employees comparing structural, high-involvement and autonomous-team interventions.</w:t>
            </w:r>
          </w:p>
        </w:tc>
        <w:tc>
          <w:tcPr>
            <w:tcW w:type="dxa" w:w="3312"/>
          </w:tcPr>
          <w:p>
            <w:r>
              <w:t>Older setting; not every intervention or effect transfers to modern digital/remote operations.</w:t>
            </w:r>
          </w:p>
        </w:tc>
      </w:tr>
      <w:tr>
        <w:trPr>
          <w:cantSplit w:val="true"/>
        </w:trPr>
        <w:tc>
          <w:tcPr>
            <w:tcW w:type="dxa" w:w="3312"/>
          </w:tcPr>
          <w:p>
            <w:r>
              <w:t>Prichard et al. (2014), Work, Employment and Society — healthcare call centres</w:t>
            </w:r>
          </w:p>
        </w:tc>
        <w:tc>
          <w:tcPr>
            <w:tcW w:type="dxa" w:w="3312"/>
          </w:tcPr>
          <w:p>
            <w:r>
              <w:t>Explored trust and the work required to embed technical change into everyday routines across three healthcare call centres.</w:t>
            </w:r>
          </w:p>
        </w:tc>
        <w:tc>
          <w:tcPr>
            <w:tcW w:type="dxa" w:w="3312"/>
          </w:tcPr>
          <w:p>
            <w:r>
              <w:t>Qualitative/contextual evidence; useful for mechanism, not effect-size claims.</w:t>
            </w:r>
          </w:p>
        </w:tc>
      </w:tr>
      <w:tr>
        <w:trPr>
          <w:cantSplit w:val="true"/>
        </w:trPr>
        <w:tc>
          <w:tcPr>
            <w:tcW w:type="dxa" w:w="3312"/>
          </w:tcPr>
          <w:p>
            <w:r>
              <w:t>Bell et al. (2026), International Journal of Workplace Health Management — mixed methods contact-centre study</w:t>
            </w:r>
          </w:p>
        </w:tc>
        <w:tc>
          <w:tcPr>
            <w:tcW w:type="dxa" w:w="3312"/>
          </w:tcPr>
          <w:p>
            <w:r>
              <w:t>11 decision-maker interviews plus survey of 38; implementation depended on leader buy-in, resources, listening to advisors and adaptability to employee needs.</w:t>
            </w:r>
          </w:p>
        </w:tc>
        <w:tc>
          <w:tcPr>
            <w:tcW w:type="dxa" w:w="3312"/>
          </w:tcPr>
          <w:p>
            <w:r>
              <w:t>Focused on health initiatives rather than all forms of operational change.</w:t>
            </w:r>
          </w:p>
        </w:tc>
      </w:tr>
      <w:tr>
        <w:trPr>
          <w:cantSplit w:val="true"/>
        </w:trPr>
        <w:tc>
          <w:tcPr>
            <w:tcW w:type="dxa" w:w="3312"/>
          </w:tcPr>
          <w:p>
            <w:r>
              <w:t>Organizational factors in customer-service chatbot implementation (2021)</w:t>
            </w:r>
          </w:p>
        </w:tc>
        <w:tc>
          <w:tcPr>
            <w:tcW w:type="dxa" w:w="3312"/>
          </w:tcPr>
          <w:p>
            <w:r>
              <w:t>Six organizations and 14 interviews identified work/team organization, change management, competencies, resources and performance measures as implementation factors.</w:t>
            </w:r>
          </w:p>
        </w:tc>
        <w:tc>
          <w:tcPr>
            <w:tcW w:type="dxa" w:w="3312"/>
          </w:tcPr>
          <w:p>
            <w:r>
              <w:t>Small qualitative multi-organization sample; hypothesis-generating rather than causal.</w:t>
            </w:r>
          </w:p>
        </w:tc>
      </w:tr>
    </w:tbl>
    <w:p>
      <w:pPr>
        <w:pStyle w:val="Heading1"/>
      </w:pPr>
      <w:r>
        <w:t>8. Outcomes</w:t>
      </w:r>
    </w:p>
    <w:p>
      <w:pPr>
        <w:pStyle w:val="ListBullet"/>
      </w:pPr>
      <w:r>
        <w:t>Readiness: understanding, perceived necessity, confidence/self-efficacy, trust, openness and anticipated capability.</w:t>
      </w:r>
    </w:p>
    <w:p>
      <w:pPr>
        <w:pStyle w:val="ListBullet"/>
      </w:pPr>
      <w:r>
        <w:t>Adaptation behavior: learning, help-seeking, experimentation, adoption, escalation quality and reduction of unsafe workarounds.</w:t>
      </w:r>
    </w:p>
    <w:p>
      <w:pPr>
        <w:pStyle w:val="ListBullet"/>
      </w:pPr>
      <w:r>
        <w:t>Performance transition: time to proficiency, quality, error/rework, handle-work changes, resolution and customer outcomes where available.</w:t>
      </w:r>
    </w:p>
    <w:p>
      <w:pPr>
        <w:pStyle w:val="ListBullet"/>
      </w:pPr>
      <w:r>
        <w:t>Sustainability: change fatigue, exhaustion, cynicism, workload, recovery, absenteeism, withdrawal and intent to leave.</w:t>
      </w:r>
    </w:p>
    <w:p>
      <w:pPr>
        <w:pStyle w:val="ListBullet"/>
      </w:pPr>
      <w:r>
        <w:t>Employment: Day 30/90, Month 6/12 retention when linked to Study #001.</w:t>
      </w:r>
    </w:p>
    <w:p>
      <w:pPr>
        <w:pStyle w:val="ListBullet"/>
      </w:pPr>
      <w:r>
        <w:t>Implementation outcome: adoption quality, stability, employee-reported usability, implementation defects and whether intended benefits materialize.</w:t>
      </w:r>
    </w:p>
    <w:p>
      <w:pPr>
        <w:pStyle w:val="Heading1"/>
      </w:pPr>
      <w:r>
        <w:t>9. Confounders and Alternative Explanations</w:t>
      </w:r>
    </w:p>
    <w:p>
      <w:r>
        <w:t>Analyses should consider baseline performance, prior change exposure, tenure, prior contact-center experience, job complexity, industry, employer, change type, change magnitude, implementation timing, staffing pressure, compensation, schedule, work arrangement, training quality, system reliability, leadership quality, team climate, employee involvement, labor-market conditions, concurrent changes, and whether the change itself is well designed. Poor outcomes cannot be attributed to low readiness when implementation quality or operating conditions provide a stronger explanation.</w:t>
      </w:r>
    </w:p>
    <w:p>
      <w:pPr>
        <w:pStyle w:val="Heading1"/>
      </w:pPr>
      <w:r>
        <w:t>10. Falsification Register</w:t>
      </w:r>
    </w:p>
    <w:tbl>
      <w:tblPr>
        <w:tblStyle w:val="TableGrid"/>
        <w:tblW w:type="auto" w:w="0"/>
        <w:jc w:val="center"/>
        <w:tblLook w:firstColumn="1" w:firstRow="1" w:lastColumn="0" w:lastRow="0" w:noHBand="0" w:noVBand="1" w:val="04A0"/>
      </w:tblPr>
      <w:tblGrid>
        <w:gridCol w:w="4968"/>
        <w:gridCol w:w="4968"/>
      </w:tblGrid>
      <w:tr>
        <w:trPr>
          <w:tblHeader w:val="true"/>
          <w:cantSplit w:val="true"/>
        </w:trPr>
        <w:tc>
          <w:tcPr>
            <w:tcW w:type="dxa" w:w="4968"/>
            <w:shd w:fill="0B3A53"/>
          </w:tcPr>
          <w:p>
            <w:r>
              <w:rPr>
                <w:b/>
                <w:color w:val="FFFFFF"/>
              </w:rPr>
              <w:t>ID</w:t>
            </w:r>
          </w:p>
        </w:tc>
        <w:tc>
          <w:tcPr>
            <w:tcW w:type="dxa" w:w="4968"/>
            <w:shd w:fill="0B3A53"/>
          </w:tcPr>
          <w:p>
            <w:r>
              <w:rPr>
                <w:b/>
                <w:color w:val="FFFFFF"/>
              </w:rPr>
              <w:t>Condition that weakens or narrows the thesis</w:t>
            </w:r>
          </w:p>
        </w:tc>
      </w:tr>
      <w:tr>
        <w:trPr>
          <w:cantSplit w:val="true"/>
        </w:trPr>
        <w:tc>
          <w:tcPr>
            <w:tcW w:type="dxa" w:w="4968"/>
          </w:tcPr>
          <w:p>
            <w:r>
              <w:t>F1</w:t>
            </w:r>
          </w:p>
        </w:tc>
        <w:tc>
          <w:tcPr>
            <w:tcW w:type="dxa" w:w="4968"/>
          </w:tcPr>
          <w:p>
            <w:r>
              <w:t>Individual readiness/adaptability adds little explanatory value after implementation quality and work conditions are controlled.</w:t>
            </w:r>
          </w:p>
        </w:tc>
      </w:tr>
      <w:tr>
        <w:trPr>
          <w:cantSplit w:val="true"/>
        </w:trPr>
        <w:tc>
          <w:tcPr>
            <w:tcW w:type="dxa" w:w="4968"/>
          </w:tcPr>
          <w:p>
            <w:r>
              <w:t>F2</w:t>
            </w:r>
          </w:p>
        </w:tc>
        <w:tc>
          <w:tcPr>
            <w:tcW w:type="dxa" w:w="4968"/>
          </w:tcPr>
          <w:p>
            <w:r>
              <w:t>Change communication improves understanding but not adoption, performance or sustainability.</w:t>
            </w:r>
          </w:p>
        </w:tc>
      </w:tr>
      <w:tr>
        <w:trPr>
          <w:cantSplit w:val="true"/>
        </w:trPr>
        <w:tc>
          <w:tcPr>
            <w:tcW w:type="dxa" w:w="4968"/>
          </w:tcPr>
          <w:p>
            <w:r>
              <w:t>F3</w:t>
            </w:r>
          </w:p>
        </w:tc>
        <w:tc>
          <w:tcPr>
            <w:tcW w:type="dxa" w:w="4968"/>
          </w:tcPr>
          <w:p>
            <w:r>
              <w:t>Training improves confidence but does not improve transfer, proficiency or objective outcomes.</w:t>
            </w:r>
          </w:p>
        </w:tc>
      </w:tr>
      <w:tr>
        <w:trPr>
          <w:cantSplit w:val="true"/>
        </w:trPr>
        <w:tc>
          <w:tcPr>
            <w:tcW w:type="dxa" w:w="4968"/>
          </w:tcPr>
          <w:p>
            <w:r>
              <w:t>F4</w:t>
            </w:r>
          </w:p>
        </w:tc>
        <w:tc>
          <w:tcPr>
            <w:tcW w:type="dxa" w:w="4968"/>
          </w:tcPr>
          <w:p>
            <w:r>
              <w:t>Supervisor support relates mainly to attitudes and not to implementation behavior or outcomes.</w:t>
            </w:r>
          </w:p>
        </w:tc>
      </w:tr>
      <w:tr>
        <w:trPr>
          <w:cantSplit w:val="true"/>
        </w:trPr>
        <w:tc>
          <w:tcPr>
            <w:tcW w:type="dxa" w:w="4968"/>
          </w:tcPr>
          <w:p>
            <w:r>
              <w:t>F5</w:t>
            </w:r>
          </w:p>
        </w:tc>
        <w:tc>
          <w:tcPr>
            <w:tcW w:type="dxa" w:w="4968"/>
          </w:tcPr>
          <w:p>
            <w:r>
              <w:t>Change fatigue is better explained by chronic workload, understaffing or poor job design than by change frequency itself.</w:t>
            </w:r>
          </w:p>
        </w:tc>
      </w:tr>
      <w:tr>
        <w:trPr>
          <w:cantSplit w:val="true"/>
        </w:trPr>
        <w:tc>
          <w:tcPr>
            <w:tcW w:type="dxa" w:w="4968"/>
          </w:tcPr>
          <w:p>
            <w:r>
              <w:t>F6</w:t>
            </w:r>
          </w:p>
        </w:tc>
        <w:tc>
          <w:tcPr>
            <w:tcW w:type="dxa" w:w="4968"/>
          </w:tcPr>
          <w:p>
            <w:r>
              <w:t>Employee participation/voice has little effect when decision latitude is minimal or implementation decisions are already fixed.</w:t>
            </w:r>
          </w:p>
        </w:tc>
      </w:tr>
      <w:tr>
        <w:trPr>
          <w:cantSplit w:val="true"/>
        </w:trPr>
        <w:tc>
          <w:tcPr>
            <w:tcW w:type="dxa" w:w="4968"/>
          </w:tcPr>
          <w:p>
            <w:r>
              <w:t>F7</w:t>
            </w:r>
          </w:p>
        </w:tc>
        <w:tc>
          <w:tcPr>
            <w:tcW w:type="dxa" w:w="4968"/>
          </w:tcPr>
          <w:p>
            <w:r>
              <w:t>High-adaptability employees perform no better under repeated change than lower-adaptability employees after context is modeled.</w:t>
            </w:r>
          </w:p>
        </w:tc>
      </w:tr>
      <w:tr>
        <w:trPr>
          <w:cantSplit w:val="true"/>
        </w:trPr>
        <w:tc>
          <w:tcPr>
            <w:tcW w:type="dxa" w:w="4968"/>
          </w:tcPr>
          <w:p>
            <w:r>
              <w:t>F8</w:t>
            </w:r>
          </w:p>
        </w:tc>
        <w:tc>
          <w:tcPr>
            <w:tcW w:type="dxa" w:w="4968"/>
          </w:tcPr>
          <w:p>
            <w:r>
              <w:t>Effects fail to replicate across employers, change types, channels, industries or work arrangements.</w:t>
            </w:r>
          </w:p>
        </w:tc>
      </w:tr>
      <w:tr>
        <w:trPr>
          <w:cantSplit w:val="true"/>
        </w:trPr>
        <w:tc>
          <w:tcPr>
            <w:tcW w:type="dxa" w:w="4968"/>
          </w:tcPr>
          <w:p>
            <w:r>
              <w:t>F9</w:t>
            </w:r>
          </w:p>
        </w:tc>
        <w:tc>
          <w:tcPr>
            <w:tcW w:type="dxa" w:w="4968"/>
          </w:tcPr>
          <w:p>
            <w:r>
              <w:t>A readiness intervention improves survey scores without improving adoption, performance, well-being or retention.</w:t>
            </w:r>
          </w:p>
        </w:tc>
      </w:tr>
      <w:tr>
        <w:trPr>
          <w:cantSplit w:val="true"/>
        </w:trPr>
        <w:tc>
          <w:tcPr>
            <w:tcW w:type="dxa" w:w="4968"/>
          </w:tcPr>
          <w:p>
            <w:r>
              <w:t>F10</w:t>
            </w:r>
          </w:p>
        </w:tc>
        <w:tc>
          <w:tcPr>
            <w:tcW w:type="dxa" w:w="4968"/>
          </w:tcPr>
          <w:p>
            <w:r>
              <w:t>Some changes produce better outcomes with less employee preparation because the technology/process itself materially simplifies the work.</w:t>
            </w:r>
          </w:p>
        </w:tc>
      </w:tr>
    </w:tbl>
    <w:p>
      <w:pPr>
        <w:pStyle w:val="Heading1"/>
      </w:pPr>
      <w:r>
        <w:t>11. Data Collection Architecture</w:t>
      </w:r>
    </w:p>
    <w:p>
      <w:pPr>
        <w:pStyle w:val="ListBullet"/>
      </w:pPr>
      <w:r>
        <w:t>Level 1 — Social listening: exploratory stories about change that helped, harmed or surprised frontline employees.</w:t>
      </w:r>
    </w:p>
    <w:p>
      <w:pPr>
        <w:pStyle w:val="ListBullet"/>
      </w:pPr>
      <w:r>
        <w:t>Level 2 — Change Pulse: brief measures of current change load, information quality, efficacy, supervisor translation, implementation friction and fatigue.</w:t>
      </w:r>
    </w:p>
    <w:p>
      <w:pPr>
        <w:pStyle w:val="ListBullet"/>
      </w:pPr>
      <w:r>
        <w:t>Level 3 — Research survey: validated change-readiness/adaptability constructs where appropriate plus implementation/context variables.</w:t>
      </w:r>
    </w:p>
    <w:p>
      <w:pPr>
        <w:pStyle w:val="ListBullet"/>
      </w:pPr>
      <w:r>
        <w:t>Level 4 — Structured interviews: frontline, supervisors, WFM, L&amp;D, IT/product, HR/change leaders and operations.</w:t>
      </w:r>
    </w:p>
    <w:p>
      <w:pPr>
        <w:pStyle w:val="ListBullet"/>
      </w:pPr>
      <w:r>
        <w:t>Level 5 — Employer implementation data: de-identified training, adoption, error, proficiency, quality, attendance, CX and retention data where available.</w:t>
      </w:r>
    </w:p>
    <w:p>
      <w:pPr>
        <w:pStyle w:val="ListBullet"/>
      </w:pPr>
      <w:r>
        <w:t>Level 6 — Longitudinal panel: pre-change baseline, go-live, 30 days, 90 days, 6 months and post-stabilization.</w:t>
      </w:r>
    </w:p>
    <w:p>
      <w:pPr>
        <w:pStyle w:val="ListBullet"/>
      </w:pPr>
      <w:r>
        <w:t>Level 7 — Intervention/comparison: prospective test of a readiness/implementation support package only after discovery and measurement work justify it.</w:t>
      </w:r>
    </w:p>
    <w:p>
      <w:pPr>
        <w:pStyle w:val="Heading1"/>
      </w:pPr>
      <w:r>
        <w:t>12. Change Load and Saturation Measure</w:t>
      </w:r>
    </w:p>
    <w:p>
      <w:r>
        <w:t>Study #005 should capture the cumulative implementation environment rather than asking only about one change. The experimental change-load module should record the number, overlap, scope, novelty, perceived completeness, training burden and operational disruption of meaningful changes over a defined period. No “Change Saturation Index” will be named or published until measurement evidence supports one.</w:t>
      </w:r>
    </w:p>
    <w:tbl>
      <w:tblPr>
        <w:tblStyle w:val="TableGrid"/>
        <w:tblW w:type="auto" w:w="0"/>
        <w:jc w:val="center"/>
        <w:tblLook w:firstColumn="1" w:firstRow="1" w:lastColumn="0" w:lastRow="0" w:noHBand="0" w:noVBand="1" w:val="04A0"/>
      </w:tblPr>
      <w:tblGrid>
        <w:gridCol w:w="4968"/>
        <w:gridCol w:w="4968"/>
      </w:tblGrid>
      <w:tr>
        <w:trPr>
          <w:tblHeader w:val="true"/>
          <w:cantSplit w:val="true"/>
        </w:trPr>
        <w:tc>
          <w:tcPr>
            <w:tcW w:type="dxa" w:w="4968"/>
            <w:shd w:fill="0B3A53"/>
          </w:tcPr>
          <w:p>
            <w:r>
              <w:rPr>
                <w:b/>
                <w:color w:val="FFFFFF"/>
              </w:rPr>
              <w:t>Dimension</w:t>
            </w:r>
          </w:p>
        </w:tc>
        <w:tc>
          <w:tcPr>
            <w:tcW w:type="dxa" w:w="4968"/>
            <w:shd w:fill="0B3A53"/>
          </w:tcPr>
          <w:p>
            <w:r>
              <w:rPr>
                <w:b/>
                <w:color w:val="FFFFFF"/>
              </w:rPr>
              <w:t>Illustrative Measurement Question</w:t>
            </w:r>
          </w:p>
        </w:tc>
      </w:tr>
      <w:tr>
        <w:trPr>
          <w:cantSplit w:val="true"/>
        </w:trPr>
        <w:tc>
          <w:tcPr>
            <w:tcW w:type="dxa" w:w="4968"/>
          </w:tcPr>
          <w:p>
            <w:r>
              <w:t>Frequency</w:t>
            </w:r>
          </w:p>
        </w:tc>
        <w:tc>
          <w:tcPr>
            <w:tcW w:type="dxa" w:w="4968"/>
          </w:tcPr>
          <w:p>
            <w:r>
              <w:t>How many meaningful work changes have required you to learn or behave differently in the past 90 days?</w:t>
            </w:r>
          </w:p>
        </w:tc>
      </w:tr>
      <w:tr>
        <w:trPr>
          <w:cantSplit w:val="true"/>
        </w:trPr>
        <w:tc>
          <w:tcPr>
            <w:tcW w:type="dxa" w:w="4968"/>
          </w:tcPr>
          <w:p>
            <w:r>
              <w:t>Overlap</w:t>
            </w:r>
          </w:p>
        </w:tc>
        <w:tc>
          <w:tcPr>
            <w:tcW w:type="dxa" w:w="4968"/>
          </w:tcPr>
          <w:p>
            <w:r>
              <w:t>How often did one change begin before the previous change felt stable?</w:t>
            </w:r>
          </w:p>
        </w:tc>
      </w:tr>
      <w:tr>
        <w:trPr>
          <w:cantSplit w:val="true"/>
        </w:trPr>
        <w:tc>
          <w:tcPr>
            <w:tcW w:type="dxa" w:w="4968"/>
          </w:tcPr>
          <w:p>
            <w:r>
              <w:t>Magnitude</w:t>
            </w:r>
          </w:p>
        </w:tc>
        <w:tc>
          <w:tcPr>
            <w:tcW w:type="dxa" w:w="4968"/>
          </w:tcPr>
          <w:p>
            <w:r>
              <w:t>How much did the change alter the way the job was actually performed?</w:t>
            </w:r>
          </w:p>
        </w:tc>
      </w:tr>
      <w:tr>
        <w:trPr>
          <w:cantSplit w:val="true"/>
        </w:trPr>
        <w:tc>
          <w:tcPr>
            <w:tcW w:type="dxa" w:w="4968"/>
          </w:tcPr>
          <w:p>
            <w:r>
              <w:t>Novelty</w:t>
            </w:r>
          </w:p>
        </w:tc>
        <w:tc>
          <w:tcPr>
            <w:tcW w:type="dxa" w:w="4968"/>
          </w:tcPr>
          <w:p>
            <w:r>
              <w:t>How unfamiliar were the required skills, systems or behaviors?</w:t>
            </w:r>
          </w:p>
        </w:tc>
      </w:tr>
      <w:tr>
        <w:trPr>
          <w:cantSplit w:val="true"/>
        </w:trPr>
        <w:tc>
          <w:tcPr>
            <w:tcW w:type="dxa" w:w="4968"/>
          </w:tcPr>
          <w:p>
            <w:r>
              <w:t>Implementation friction</w:t>
            </w:r>
          </w:p>
        </w:tc>
        <w:tc>
          <w:tcPr>
            <w:tcW w:type="dxa" w:w="4968"/>
          </w:tcPr>
          <w:p>
            <w:r>
              <w:t>How often did process/system problems make the intended new way of working difficult?</w:t>
            </w:r>
          </w:p>
        </w:tc>
      </w:tr>
      <w:tr>
        <w:trPr>
          <w:cantSplit w:val="true"/>
        </w:trPr>
        <w:tc>
          <w:tcPr>
            <w:tcW w:type="dxa" w:w="4968"/>
          </w:tcPr>
          <w:p>
            <w:r>
              <w:t>Recovery / stabilization</w:t>
            </w:r>
          </w:p>
        </w:tc>
        <w:tc>
          <w:tcPr>
            <w:tcW w:type="dxa" w:w="4968"/>
          </w:tcPr>
          <w:p>
            <w:r>
              <w:t>Was there enough time for the new process to become routine before another major change arrived?</w:t>
            </w:r>
          </w:p>
        </w:tc>
      </w:tr>
    </w:tbl>
    <w:p>
      <w:pPr>
        <w:pStyle w:val="Heading1"/>
      </w:pPr>
      <w:r>
        <w:t>13. Employer Implementation Quality Variables</w:t>
      </w:r>
    </w:p>
    <w:p>
      <w:r>
        <w:t>To avoid blaming employees for failed change, Study #005 will explicitly measure employer implementation conditions.</w:t>
      </w:r>
    </w:p>
    <w:tbl>
      <w:tblPr>
        <w:tblStyle w:val="TableGrid"/>
        <w:tblW w:type="auto" w:w="0"/>
        <w:jc w:val="center"/>
        <w:tblLook w:firstColumn="1" w:firstRow="1" w:lastColumn="0" w:lastRow="0" w:noHBand="0" w:noVBand="1" w:val="04A0"/>
      </w:tblPr>
      <w:tblGrid>
        <w:gridCol w:w="4968"/>
        <w:gridCol w:w="4968"/>
      </w:tblGrid>
      <w:tr>
        <w:trPr>
          <w:tblHeader w:val="true"/>
          <w:cantSplit w:val="true"/>
        </w:trPr>
        <w:tc>
          <w:tcPr>
            <w:tcW w:type="dxa" w:w="4968"/>
            <w:shd w:fill="0B3A53"/>
          </w:tcPr>
          <w:p>
            <w:r>
              <w:rPr>
                <w:b/>
                <w:color w:val="FFFFFF"/>
              </w:rPr>
              <w:t>Variable</w:t>
            </w:r>
          </w:p>
        </w:tc>
        <w:tc>
          <w:tcPr>
            <w:tcW w:type="dxa" w:w="4968"/>
            <w:shd w:fill="0B3A53"/>
          </w:tcPr>
          <w:p>
            <w:r>
              <w:rPr>
                <w:b/>
                <w:color w:val="FFFFFF"/>
              </w:rPr>
              <w:t>What Must Be Established</w:t>
            </w:r>
          </w:p>
        </w:tc>
      </w:tr>
      <w:tr>
        <w:trPr>
          <w:cantSplit w:val="true"/>
        </w:trPr>
        <w:tc>
          <w:tcPr>
            <w:tcW w:type="dxa" w:w="4968"/>
          </w:tcPr>
          <w:p>
            <w:r>
              <w:t>Rationale</w:t>
            </w:r>
          </w:p>
        </w:tc>
        <w:tc>
          <w:tcPr>
            <w:tcW w:type="dxa" w:w="4968"/>
          </w:tcPr>
          <w:p>
            <w:r>
              <w:t>Was a credible reason for the change explained?</w:t>
            </w:r>
          </w:p>
        </w:tc>
      </w:tr>
      <w:tr>
        <w:trPr>
          <w:cantSplit w:val="true"/>
        </w:trPr>
        <w:tc>
          <w:tcPr>
            <w:tcW w:type="dxa" w:w="4968"/>
          </w:tcPr>
          <w:p>
            <w:r>
              <w:t>Role impact</w:t>
            </w:r>
          </w:p>
        </w:tc>
        <w:tc>
          <w:tcPr>
            <w:tcW w:type="dxa" w:w="4968"/>
          </w:tcPr>
          <w:p>
            <w:r>
              <w:t>Did employees know what would change in their day-to-day work?</w:t>
            </w:r>
          </w:p>
        </w:tc>
      </w:tr>
      <w:tr>
        <w:trPr>
          <w:cantSplit w:val="true"/>
        </w:trPr>
        <w:tc>
          <w:tcPr>
            <w:tcW w:type="dxa" w:w="4968"/>
          </w:tcPr>
          <w:p>
            <w:r>
              <w:t>Training</w:t>
            </w:r>
          </w:p>
        </w:tc>
        <w:tc>
          <w:tcPr>
            <w:tcW w:type="dxa" w:w="4968"/>
          </w:tcPr>
          <w:p>
            <w:r>
              <w:t>Was training relevant, timely and sufficient for the actual task?</w:t>
            </w:r>
          </w:p>
        </w:tc>
      </w:tr>
      <w:tr>
        <w:trPr>
          <w:cantSplit w:val="true"/>
        </w:trPr>
        <w:tc>
          <w:tcPr>
            <w:tcW w:type="dxa" w:w="4968"/>
          </w:tcPr>
          <w:p>
            <w:r>
              <w:t>Practice</w:t>
            </w:r>
          </w:p>
        </w:tc>
        <w:tc>
          <w:tcPr>
            <w:tcW w:type="dxa" w:w="4968"/>
          </w:tcPr>
          <w:p>
            <w:r>
              <w:t>Was protected practice or supported transition available?</w:t>
            </w:r>
          </w:p>
        </w:tc>
      </w:tr>
      <w:tr>
        <w:trPr>
          <w:cantSplit w:val="true"/>
        </w:trPr>
        <w:tc>
          <w:tcPr>
            <w:tcW w:type="dxa" w:w="4968"/>
          </w:tcPr>
          <w:p>
            <w:r>
              <w:t>Resources</w:t>
            </w:r>
          </w:p>
        </w:tc>
        <w:tc>
          <w:tcPr>
            <w:tcW w:type="dxa" w:w="4968"/>
          </w:tcPr>
          <w:p>
            <w:r>
              <w:t>Were systems, knowledge, staffing and escalation support adequate?</w:t>
            </w:r>
          </w:p>
        </w:tc>
      </w:tr>
      <w:tr>
        <w:trPr>
          <w:cantSplit w:val="true"/>
        </w:trPr>
        <w:tc>
          <w:tcPr>
            <w:tcW w:type="dxa" w:w="4968"/>
          </w:tcPr>
          <w:p>
            <w:r>
              <w:t>Sequencing</w:t>
            </w:r>
          </w:p>
        </w:tc>
        <w:tc>
          <w:tcPr>
            <w:tcW w:type="dxa" w:w="4968"/>
          </w:tcPr>
          <w:p>
            <w:r>
              <w:t>Were concurrent changes coordinated or stacked without stabilization?</w:t>
            </w:r>
          </w:p>
        </w:tc>
      </w:tr>
      <w:tr>
        <w:trPr>
          <w:cantSplit w:val="true"/>
        </w:trPr>
        <w:tc>
          <w:tcPr>
            <w:tcW w:type="dxa" w:w="4968"/>
          </w:tcPr>
          <w:p>
            <w:r>
              <w:t>Voice</w:t>
            </w:r>
          </w:p>
        </w:tc>
        <w:tc>
          <w:tcPr>
            <w:tcW w:type="dxa" w:w="4968"/>
          </w:tcPr>
          <w:p>
            <w:r>
              <w:t>Could employees surface defects, risks and customer impact?</w:t>
            </w:r>
          </w:p>
        </w:tc>
      </w:tr>
      <w:tr>
        <w:trPr>
          <w:cantSplit w:val="true"/>
        </w:trPr>
        <w:tc>
          <w:tcPr>
            <w:tcW w:type="dxa" w:w="4968"/>
          </w:tcPr>
          <w:p>
            <w:r>
              <w:t>Response</w:t>
            </w:r>
          </w:p>
        </w:tc>
        <w:tc>
          <w:tcPr>
            <w:tcW w:type="dxa" w:w="4968"/>
          </w:tcPr>
          <w:p>
            <w:r>
              <w:t>Did the organization visibly act on credible implementation feedback?</w:t>
            </w:r>
          </w:p>
        </w:tc>
      </w:tr>
      <w:tr>
        <w:trPr>
          <w:cantSplit w:val="true"/>
        </w:trPr>
        <w:tc>
          <w:tcPr>
            <w:tcW w:type="dxa" w:w="4968"/>
          </w:tcPr>
          <w:p>
            <w:r>
              <w:t>Leader capacity</w:t>
            </w:r>
          </w:p>
        </w:tc>
        <w:tc>
          <w:tcPr>
            <w:tcW w:type="dxa" w:w="4968"/>
          </w:tcPr>
          <w:p>
            <w:r>
              <w:t>Did supervisors have time, clarity and support to lead the change?</w:t>
            </w:r>
          </w:p>
        </w:tc>
      </w:tr>
      <w:tr>
        <w:trPr>
          <w:cantSplit w:val="true"/>
        </w:trPr>
        <w:tc>
          <w:tcPr>
            <w:tcW w:type="dxa" w:w="4968"/>
          </w:tcPr>
          <w:p>
            <w:r>
              <w:t>Reinforcement</w:t>
            </w:r>
          </w:p>
        </w:tc>
        <w:tc>
          <w:tcPr>
            <w:tcW w:type="dxa" w:w="4968"/>
          </w:tcPr>
          <w:p>
            <w:r>
              <w:t>Were expectations reinforced after go-live and updated as reality emerged?</w:t>
            </w:r>
          </w:p>
        </w:tc>
      </w:tr>
    </w:tbl>
    <w:p>
      <w:pPr>
        <w:pStyle w:val="Heading1"/>
      </w:pPr>
      <w:r>
        <w:t>14. Analysis Plan</w:t>
      </w:r>
    </w:p>
    <w:p>
      <w:pPr>
        <w:pStyle w:val="ListBullet"/>
      </w:pPr>
      <w:r>
        <w:t>Separate readiness before change from actual adaptation after change.</w:t>
      </w:r>
    </w:p>
    <w:p>
      <w:pPr>
        <w:pStyle w:val="ListBullet"/>
      </w:pPr>
      <w:r>
        <w:t>Analyze change type, magnitude and cumulative load rather than treating all change as equivalent.</w:t>
      </w:r>
    </w:p>
    <w:p>
      <w:pPr>
        <w:pStyle w:val="ListBullet"/>
      </w:pPr>
      <w:r>
        <w:t>Separate individual adaptability from implementation quality and structural readiness.</w:t>
      </w:r>
    </w:p>
    <w:p>
      <w:pPr>
        <w:pStyle w:val="ListBullet"/>
      </w:pPr>
      <w:r>
        <w:t>Use repeated-measures/longitudinal models when timing permits; avoid causal language from one-time surveys.</w:t>
      </w:r>
    </w:p>
    <w:p>
      <w:pPr>
        <w:pStyle w:val="ListBullet"/>
      </w:pPr>
      <w:r>
        <w:t>Use multilevel models when employees are nested within teams, supervisors or implementation units.</w:t>
      </w:r>
    </w:p>
    <w:p>
      <w:pPr>
        <w:pStyle w:val="ListBullet"/>
      </w:pPr>
      <w:r>
        <w:t>Test interactions between adaptability and leadership/implementation support rather than assuming universal main effects.</w:t>
      </w:r>
    </w:p>
    <w:p>
      <w:pPr>
        <w:pStyle w:val="ListBullet"/>
      </w:pPr>
      <w:r>
        <w:t>Examine whether change load shows nonlinear or threshold relationships with fatigue and performance.</w:t>
      </w:r>
    </w:p>
    <w:p>
      <w:pPr>
        <w:pStyle w:val="ListBullet"/>
      </w:pPr>
      <w:r>
        <w:t>Use objective/different-source outcomes where feasible to reduce common-method bias.</w:t>
      </w:r>
    </w:p>
    <w:p>
      <w:pPr>
        <w:pStyle w:val="ListBullet"/>
      </w:pPr>
      <w:r>
        <w:t>Report null, adverse, heterogeneous and contradictory results.</w:t>
      </w:r>
    </w:p>
    <w:p>
      <w:pPr>
        <w:pStyle w:val="Heading1"/>
      </w:pPr>
      <w:r>
        <w:t>15. Structured Interview Core</w:t>
      </w:r>
    </w:p>
    <w:p>
      <w:pPr>
        <w:pStyle w:val="ListNumber"/>
      </w:pPr>
      <w:r>
        <w:t>Tell me about the most recent significant change that affected how you handled customer work.</w:t>
      </w:r>
    </w:p>
    <w:p>
      <w:pPr>
        <w:pStyle w:val="ListNumber"/>
      </w:pPr>
      <w:r>
        <w:t>What did you understand about the reason for the change before it happened?</w:t>
      </w:r>
    </w:p>
    <w:p>
      <w:pPr>
        <w:pStyle w:val="ListNumber"/>
      </w:pPr>
      <w:r>
        <w:t>What part of the change was easiest to adapt to, and what part was hardest?</w:t>
      </w:r>
    </w:p>
    <w:p>
      <w:pPr>
        <w:pStyle w:val="ListNumber"/>
      </w:pPr>
      <w:r>
        <w:t>What did training prepare you for—and what did you have to learn only after go-live?</w:t>
      </w:r>
    </w:p>
    <w:p>
      <w:pPr>
        <w:pStyle w:val="ListNumber"/>
      </w:pPr>
      <w:r>
        <w:t>What did your supervisor do that made adaptation easier or harder?</w:t>
      </w:r>
    </w:p>
    <w:p>
      <w:pPr>
        <w:pStyle w:val="ListNumber"/>
      </w:pPr>
      <w:r>
        <w:t>Were you able to raise implementation problems or customer-impact concerns? What happened when you did?</w:t>
      </w:r>
    </w:p>
    <w:p>
      <w:pPr>
        <w:pStyle w:val="ListNumber"/>
      </w:pPr>
      <w:r>
        <w:t>Were other major changes happening at the same time? How did that affect your ability to adapt?</w:t>
      </w:r>
    </w:p>
    <w:p>
      <w:pPr>
        <w:pStyle w:val="ListNumber"/>
      </w:pPr>
      <w:r>
        <w:t>At what point, if any, did the amount of change become exhausting or counterproductive?</w:t>
      </w:r>
    </w:p>
    <w:p>
      <w:pPr>
        <w:pStyle w:val="ListNumber"/>
      </w:pPr>
      <w:r>
        <w:t>What part of successful adaptation was your responsibility, and what part was the organization’s responsibility?</w:t>
      </w:r>
    </w:p>
    <w:p>
      <w:pPr>
        <w:pStyle w:val="ListNumber"/>
      </w:pPr>
      <w:r>
        <w:t>Describe a change that ultimately made your work easier or better. What was different about how it was implemented?</w:t>
      </w:r>
    </w:p>
    <w:p>
      <w:pPr>
        <w:pStyle w:val="ListNumber"/>
      </w:pPr>
      <w:r>
        <w:t>What evidence would make you disagree with the idea that greater change readiness improves outcomes?</w:t>
      </w:r>
    </w:p>
    <w:p>
      <w:pPr>
        <w:pStyle w:val="Heading1"/>
      </w:pPr>
      <w:r>
        <w:t>16. Social Listening Prompts</w:t>
      </w:r>
    </w:p>
    <w:p>
      <w:pPr>
        <w:pStyle w:val="ListBullet"/>
      </w:pPr>
      <w:r>
        <w:t>What is the hardest part of constant change in a contact center?</w:t>
      </w:r>
    </w:p>
    <w:p>
      <w:pPr>
        <w:pStyle w:val="ListBullet"/>
      </w:pPr>
      <w:r>
        <w:t>What made one workplace change easier for you to adopt than another?</w:t>
      </w:r>
    </w:p>
    <w:p>
      <w:pPr>
        <w:pStyle w:val="ListBullet"/>
      </w:pPr>
      <w:r>
        <w:t>Have you ever been trained on a change and still felt unprepared when it went live? What was missing?</w:t>
      </w:r>
    </w:p>
    <w:p>
      <w:pPr>
        <w:pStyle w:val="ListBullet"/>
      </w:pPr>
      <w:r>
        <w:t>What should leaders stop calling “resistance to change” because it is actually an implementation problem?</w:t>
      </w:r>
    </w:p>
    <w:p>
      <w:pPr>
        <w:pStyle w:val="ListBullet"/>
      </w:pPr>
      <w:r>
        <w:t>What is one change that genuinely made frontline work better—and why did it work?</w:t>
      </w:r>
    </w:p>
    <w:p>
      <w:r>
        <w:t>Public comments are exploratory observations only and remain separate from formal research responses.</w:t>
      </w:r>
    </w:p>
    <w:p>
      <w:pPr>
        <w:pStyle w:val="Heading1"/>
      </w:pPr>
      <w:r>
        <w:t>17. Claim Ladder</w:t>
      </w:r>
    </w:p>
    <w:tbl>
      <w:tblPr>
        <w:tblStyle w:val="TableGrid"/>
        <w:tblW w:type="auto" w:w="0"/>
        <w:jc w:val="center"/>
        <w:tblLook w:firstColumn="1" w:firstRow="1" w:lastColumn="0" w:lastRow="0" w:noHBand="0" w:noVBand="1" w:val="04A0"/>
      </w:tblPr>
      <w:tblGrid>
        <w:gridCol w:w="3312"/>
        <w:gridCol w:w="3312"/>
        <w:gridCol w:w="3312"/>
      </w:tblGrid>
      <w:tr>
        <w:trPr>
          <w:tblHeader w:val="true"/>
          <w:cantSplit w:val="true"/>
        </w:trPr>
        <w:tc>
          <w:tcPr>
            <w:tcW w:type="dxa" w:w="3312"/>
            <w:shd w:fill="0B3A53"/>
          </w:tcPr>
          <w:p>
            <w:r>
              <w:rPr>
                <w:b/>
                <w:color w:val="FFFFFF"/>
              </w:rPr>
              <w:t>Level</w:t>
            </w:r>
          </w:p>
        </w:tc>
        <w:tc>
          <w:tcPr>
            <w:tcW w:type="dxa" w:w="3312"/>
            <w:shd w:fill="0B3A53"/>
          </w:tcPr>
          <w:p>
            <w:r>
              <w:rPr>
                <w:b/>
                <w:color w:val="FFFFFF"/>
              </w:rPr>
              <w:t>Permitted Claim</w:t>
            </w:r>
          </w:p>
        </w:tc>
        <w:tc>
          <w:tcPr>
            <w:tcW w:type="dxa" w:w="3312"/>
            <w:shd w:fill="0B3A53"/>
          </w:tcPr>
          <w:p>
            <w:r>
              <w:rPr>
                <w:b/>
                <w:color w:val="FFFFFF"/>
              </w:rPr>
              <w:t>Minimum Evidence</w:t>
            </w:r>
          </w:p>
        </w:tc>
      </w:tr>
      <w:tr>
        <w:trPr>
          <w:cantSplit w:val="true"/>
        </w:trPr>
        <w:tc>
          <w:tcPr>
            <w:tcW w:type="dxa" w:w="3312"/>
          </w:tcPr>
          <w:p>
            <w:r>
              <w:t>0 — Observation</w:t>
            </w:r>
          </w:p>
        </w:tc>
        <w:tc>
          <w:tcPr>
            <w:tcW w:type="dxa" w:w="3312"/>
          </w:tcPr>
          <w:p>
            <w:r>
              <w:t>Participants describe change condition X as helpful/harmful.</w:t>
            </w:r>
          </w:p>
        </w:tc>
        <w:tc>
          <w:tcPr>
            <w:tcW w:type="dxa" w:w="3312"/>
          </w:tcPr>
          <w:p>
            <w:r>
              <w:t>Exploratory listening/interviews</w:t>
            </w:r>
          </w:p>
        </w:tc>
      </w:tr>
      <w:tr>
        <w:trPr>
          <w:cantSplit w:val="true"/>
        </w:trPr>
        <w:tc>
          <w:tcPr>
            <w:tcW w:type="dxa" w:w="3312"/>
          </w:tcPr>
          <w:p>
            <w:r>
              <w:t>1 — Association</w:t>
            </w:r>
          </w:p>
        </w:tc>
        <w:tc>
          <w:tcPr>
            <w:tcW w:type="dxa" w:w="3312"/>
          </w:tcPr>
          <w:p>
            <w:r>
              <w:t>X is associated with readiness/adaptation Y in this sample.</w:t>
            </w:r>
          </w:p>
        </w:tc>
        <w:tc>
          <w:tcPr>
            <w:tcW w:type="dxa" w:w="3312"/>
          </w:tcPr>
          <w:p>
            <w:r>
              <w:t>Adequate cross-sectional data + controls</w:t>
            </w:r>
          </w:p>
        </w:tc>
      </w:tr>
      <w:tr>
        <w:trPr>
          <w:cantSplit w:val="true"/>
        </w:trPr>
        <w:tc>
          <w:tcPr>
            <w:tcW w:type="dxa" w:w="3312"/>
          </w:tcPr>
          <w:p>
            <w:r>
              <w:t>2 — Temporal prediction</w:t>
            </w:r>
          </w:p>
        </w:tc>
        <w:tc>
          <w:tcPr>
            <w:tcW w:type="dxa" w:w="3312"/>
          </w:tcPr>
          <w:p>
            <w:r>
              <w:t>X predicts later adaptation/fatigue/performance.</w:t>
            </w:r>
          </w:p>
        </w:tc>
        <w:tc>
          <w:tcPr>
            <w:tcW w:type="dxa" w:w="3312"/>
          </w:tcPr>
          <w:p>
            <w:r>
              <w:t>Longitudinal evidence</w:t>
            </w:r>
          </w:p>
        </w:tc>
      </w:tr>
      <w:tr>
        <w:trPr>
          <w:cantSplit w:val="true"/>
        </w:trPr>
        <w:tc>
          <w:tcPr>
            <w:tcW w:type="dxa" w:w="3312"/>
          </w:tcPr>
          <w:p>
            <w:r>
              <w:t>3 — Contextual model</w:t>
            </w:r>
          </w:p>
        </w:tc>
        <w:tc>
          <w:tcPr>
            <w:tcW w:type="dxa" w:w="3312"/>
          </w:tcPr>
          <w:p>
            <w:r>
              <w:t>Individual and implementation factors explain distinct variance.</w:t>
            </w:r>
          </w:p>
        </w:tc>
        <w:tc>
          <w:tcPr>
            <w:tcW w:type="dxa" w:w="3312"/>
          </w:tcPr>
          <w:p>
            <w:r>
              <w:t>Adequate multivariable/multilevel evidence</w:t>
            </w:r>
          </w:p>
        </w:tc>
      </w:tr>
      <w:tr>
        <w:trPr>
          <w:cantSplit w:val="true"/>
        </w:trPr>
        <w:tc>
          <w:tcPr>
            <w:tcW w:type="dxa" w:w="3312"/>
          </w:tcPr>
          <w:p>
            <w:r>
              <w:t>4 — Replication</w:t>
            </w:r>
          </w:p>
        </w:tc>
        <w:tc>
          <w:tcPr>
            <w:tcW w:type="dxa" w:w="3312"/>
          </w:tcPr>
          <w:p>
            <w:r>
              <w:t>Relationships recur across change types/employers.</w:t>
            </w:r>
          </w:p>
        </w:tc>
        <w:tc>
          <w:tcPr>
            <w:tcW w:type="dxa" w:w="3312"/>
          </w:tcPr>
          <w:p>
            <w:r>
              <w:t>Multi-site/external evidence</w:t>
            </w:r>
          </w:p>
        </w:tc>
      </w:tr>
      <w:tr>
        <w:trPr>
          <w:cantSplit w:val="true"/>
        </w:trPr>
        <w:tc>
          <w:tcPr>
            <w:tcW w:type="dxa" w:w="3312"/>
          </w:tcPr>
          <w:p>
            <w:r>
              <w:t>5 — Intervention effect</w:t>
            </w:r>
          </w:p>
        </w:tc>
        <w:tc>
          <w:tcPr>
            <w:tcW w:type="dxa" w:w="3312"/>
          </w:tcPr>
          <w:p>
            <w:r>
              <w:t>Changing readiness/implementation support changes outcomes.</w:t>
            </w:r>
          </w:p>
        </w:tc>
        <w:tc>
          <w:tcPr>
            <w:tcW w:type="dxa" w:w="3312"/>
          </w:tcPr>
          <w:p>
            <w:r>
              <w:t>Prospective experimental/strong quasi-experimental evidence</w:t>
            </w:r>
          </w:p>
        </w:tc>
      </w:tr>
      <w:tr>
        <w:trPr>
          <w:cantSplit w:val="true"/>
        </w:trPr>
        <w:tc>
          <w:tcPr>
            <w:tcW w:type="dxa" w:w="3312"/>
          </w:tcPr>
          <w:p>
            <w:r>
              <w:t>6 — Economic value</w:t>
            </w:r>
          </w:p>
        </w:tc>
        <w:tc>
          <w:tcPr>
            <w:tcW w:type="dxa" w:w="3312"/>
          </w:tcPr>
          <w:p>
            <w:r>
              <w:t>The intervention produces measurable operational/economic value.</w:t>
            </w:r>
          </w:p>
        </w:tc>
        <w:tc>
          <w:tcPr>
            <w:tcW w:type="dxa" w:w="3312"/>
          </w:tcPr>
          <w:p>
            <w:r>
              <w:t>Validated outcomes + cost/benefit analysis</w:t>
            </w:r>
          </w:p>
        </w:tc>
      </w:tr>
    </w:tbl>
    <w:p>
      <w:pPr>
        <w:pStyle w:val="Heading1"/>
      </w:pPr>
      <w:r>
        <w:t>18. Research Quality and Release Standards</w:t>
      </w:r>
    </w:p>
    <w:p>
      <w:pPr>
        <w:pStyle w:val="ListBullet"/>
      </w:pPr>
      <w:r>
        <w:t>Do not label legitimate implementation concerns as resistance.</w:t>
      </w:r>
    </w:p>
    <w:p>
      <w:pPr>
        <w:pStyle w:val="ListBullet"/>
      </w:pPr>
      <w:r>
        <w:t>Do not equate willingness to change with capability to implement change.</w:t>
      </w:r>
    </w:p>
    <w:p>
      <w:pPr>
        <w:pStyle w:val="ListBullet"/>
      </w:pPr>
      <w:r>
        <w:t>Separate individual adaptability from organizational implementation quality.</w:t>
      </w:r>
    </w:p>
    <w:p>
      <w:pPr>
        <w:pStyle w:val="ListBullet"/>
      </w:pPr>
      <w:r>
        <w:t>Measure cumulative change load and concurrent changes.</w:t>
      </w:r>
    </w:p>
    <w:p>
      <w:pPr>
        <w:pStyle w:val="ListBullet"/>
      </w:pPr>
      <w:r>
        <w:t>Include successful and beneficial change cases, not only failures.</w:t>
      </w:r>
    </w:p>
    <w:p>
      <w:pPr>
        <w:pStyle w:val="ListBullet"/>
      </w:pPr>
      <w:r>
        <w:t>Use longitudinal and different-source/objective outcomes where feasible.</w:t>
      </w:r>
    </w:p>
    <w:p>
      <w:pPr>
        <w:pStyle w:val="ListBullet"/>
      </w:pPr>
      <w:r>
        <w:t>Model supervisor/team effects and leader capacity during change.</w:t>
      </w:r>
    </w:p>
    <w:p>
      <w:pPr>
        <w:pStyle w:val="ListBullet"/>
      </w:pPr>
      <w:r>
        <w:t>Actively seek evidence that structural conditions matter more than readiness.</w:t>
      </w:r>
    </w:p>
    <w:p>
      <w:pPr>
        <w:pStyle w:val="ListBullet"/>
      </w:pPr>
      <w:r>
        <w:t>Do not publish a proprietary readiness or saturation index before validation.</w:t>
      </w:r>
    </w:p>
    <w:p>
      <w:pPr>
        <w:pStyle w:val="ListBullet"/>
      </w:pPr>
      <w:r>
        <w:t>Require replication before broad industry claims.</w:t>
      </w:r>
    </w:p>
    <w:p>
      <w:pPr>
        <w:pStyle w:val="Heading1"/>
      </w:pPr>
      <w:r>
        <w:t>19. Evidence Registry Rules</w:t>
      </w:r>
    </w:p>
    <w:p>
      <w:pPr>
        <w:pStyle w:val="ListBullet"/>
      </w:pPr>
      <w:r>
        <w:t>Target at least 25 high-relevance sources before confirmatory testing; evidence quality and relevance outrank volume.</w:t>
      </w:r>
    </w:p>
    <w:p>
      <w:pPr>
        <w:pStyle w:val="ListBullet"/>
      </w:pPr>
      <w:r>
        <w:t>Code each source SUPPORTIVE, CONTRADICTORY/CAUTIONARY, METHOD, CONTEXT or NEUTRAL.</w:t>
      </w:r>
    </w:p>
    <w:p>
      <w:pPr>
        <w:pStyle w:val="ListBullet"/>
      </w:pPr>
      <w:r>
        <w:t>Record sample, setting, change type, design, measures, outcomes, effect estimates, limitations and hypothesis relevance.</w:t>
      </w:r>
    </w:p>
    <w:p>
      <w:pPr>
        <w:pStyle w:val="ListBullet"/>
      </w:pPr>
      <w:r>
        <w:t>Distinguish general organizational-change evidence from contact-center-specific evidence.</w:t>
      </w:r>
    </w:p>
    <w:p>
      <w:pPr>
        <w:pStyle w:val="ListBullet"/>
      </w:pPr>
      <w:r>
        <w:t>Search explicitly for failed implementations, null findings, change fatigue, overload, technology simplification, and evidence of beneficial change.</w:t>
      </w:r>
    </w:p>
    <w:p>
      <w:pPr>
        <w:pStyle w:val="ListBullet"/>
      </w:pPr>
      <w:r>
        <w:t>Do not use consulting/vendor case studies as causal proof.</w:t>
      </w:r>
    </w:p>
    <w:p>
      <w:pPr>
        <w:pStyle w:val="ListBullet"/>
      </w:pPr>
      <w:r>
        <w:t>Document search terms, sources/databases, screening decisions and exclusions for the confirmatory evidence review.</w:t>
      </w:r>
    </w:p>
    <w:p>
      <w:pPr>
        <w:pStyle w:val="Heading1"/>
      </w:pPr>
      <w:r>
        <w:t>20. Integration With Studies #001–#004</w:t>
      </w:r>
    </w:p>
    <w:p>
      <w:r>
        <w:t>Use a common anonymous participant identifier where feasible so Study #005 can test change-readiness variables alongside Study #001 survival outcomes, Study #002 expectation-reality gaps, Study #003 literacy/teaching exposure, and Study #004 supervisor variables. The goal is a competing-explanations model: poor adaptation may reflect low individual readiness, excessive change load, weak implementation, insufficient operational understanding, supervisor constraints, broader system conditions, or combinations of these factors.</w:t>
      </w:r>
    </w:p>
    <w:p>
      <w:pPr>
        <w:pStyle w:val="Heading1"/>
      </w:pPr>
      <w:r>
        <w:t>21. Public Research Status</w:t>
      </w:r>
    </w:p>
    <w:p>
      <w:r>
        <w:t>Study #005 may be introduced publicly while evidence collection continues. Public materials should clearly separate: (1) what existing evidence suggests, (2) what ResolveCX hypothesizes, (3) what the study is currently testing, (4) what preliminary observations—if any—have emerged, and (5) what remains unknown. Interviews, surveys, social listening, employer data and longitudinal findings are part of ongoing research and must not be presented as final industry-wide conclusions.</w:t>
      </w:r>
    </w:p>
    <w:p>
      <w:pPr>
        <w:pStyle w:val="Heading1"/>
      </w:pPr>
      <w:r>
        <w:t>22. Immediate Implementation Sequence</w:t>
      </w:r>
    </w:p>
    <w:p>
      <w:r>
        <w:t>1. Build the 25+ source Evidence Registry with at least five contact-center/customer-service empirical sources and explicit contradictory/cautionary evidence.</w:t>
      </w:r>
    </w:p>
    <w:p>
      <w:r>
        <w:t>2. Create the construct dictionary for readiness, implementation quality, adaptation behavior, change load, fatigue and structural readiness.</w:t>
      </w:r>
    </w:p>
    <w:p>
      <w:r>
        <w:t>3. Draft the Change Pulse and experimental change-load items without duplicating Studies #001–#004.</w:t>
      </w:r>
    </w:p>
    <w:p>
      <w:r>
        <w:t>4. Conduct expert content review with frontline, supervisors, WFM, L&amp;D, operations and change/technology stakeholders.</w:t>
      </w:r>
    </w:p>
    <w:p>
      <w:r>
        <w:t>5. If new or materially adapted items remain necessary after the Evidence Sufficiency Review, conduct 5–10 cognitive interviews before broad survey launch.</w:t>
      </w:r>
    </w:p>
    <w:p>
      <w:r>
        <w:t>6. Pilot change-load and implementation-quality domains separately; do not publish a composite index.</w:t>
      </w:r>
    </w:p>
    <w:p>
      <w:r>
        <w:t>7. Recruit participants experiencing different change types and include successful-change cases.</w:t>
      </w:r>
    </w:p>
    <w:p>
      <w:r>
        <w:t>8. Link Study #005 measures to longitudinal outcomes using common anonymous participant IDs.</w:t>
      </w:r>
    </w:p>
    <w:p>
      <w:r>
        <w:t>9. Preregister confirmatory hypotheses, outcomes, covariates, timing and analysis before confirmatory testing.</w:t>
      </w:r>
    </w:p>
    <w:p>
      <w:r>
        <w:t>10. Only after replication should ResolveCX test a change-readiness intervention and economic impact.</w:t>
      </w:r>
    </w:p>
    <w:p>
      <w:pPr>
        <w:pStyle w:val="Heading1"/>
      </w:pPr>
      <w:r>
        <w:t>23. Initial Evidence Anchors</w:t>
      </w:r>
    </w:p>
    <w:p>
      <w:pPr>
        <w:pStyle w:val="ListBullet"/>
        <w:spacing w:after="40" w:line="240" w:lineRule="auto"/>
      </w:pPr>
      <w:r>
        <w:rPr>
          <w:sz w:val="18"/>
        </w:rPr>
        <w:t>Peng, J., Li, M., Wang, Z., &amp; Lin, Y. (2021). Transformational leadership and employees’ reactions to organizational change: Evidence from a meta-analysis. Journal of Applied Behavioral Science, 57(3). DOI: 10.1177/0021886320920366.</w:t>
      </w:r>
    </w:p>
    <w:p>
      <w:pPr>
        <w:pStyle w:val="ListBullet"/>
        <w:spacing w:after="40" w:line="240" w:lineRule="auto"/>
      </w:pPr>
      <w:r>
        <w:rPr>
          <w:sz w:val="18"/>
        </w:rPr>
        <w:t>Jimmieson, N. L., Terry, D. J., &amp; Callan, V. J. (2004). A longitudinal study of employee adaptation to organizational change: The role of change-related information and change-related self-efficacy. Journal of Occupational Health Psychology, 9(1), 11–27. DOI: 10.1037/1076-8998.9.1.11.</w:t>
      </w:r>
    </w:p>
    <w:p>
      <w:pPr>
        <w:pStyle w:val="ListBullet"/>
        <w:spacing w:after="40" w:line="240" w:lineRule="auto"/>
      </w:pPr>
      <w:r>
        <w:rPr>
          <w:sz w:val="18"/>
        </w:rPr>
        <w:t>Neves, P., &amp; van Dam, K. (2025). Facilitating Change: The Role of Adaptability and LMX for Change Support. Journal of Applied Behavioral Science, 61(4). DOI: 10.1177/00218863241257959.</w:t>
      </w:r>
    </w:p>
    <w:p>
      <w:pPr>
        <w:pStyle w:val="ListBullet"/>
        <w:spacing w:after="40" w:line="240" w:lineRule="auto"/>
      </w:pPr>
      <w:r>
        <w:rPr>
          <w:sz w:val="18"/>
        </w:rPr>
        <w:t>Workman, M. (2004). Redesigning computer call center work: A longitudinal field experiment. Journal of Organizational Behavior, 25(3), 317–337. DOI: 10.1002/job.247.</w:t>
      </w:r>
    </w:p>
    <w:p>
      <w:pPr>
        <w:pStyle w:val="ListBullet"/>
        <w:spacing w:after="40" w:line="240" w:lineRule="auto"/>
      </w:pPr>
      <w:r>
        <w:rPr>
          <w:sz w:val="18"/>
        </w:rPr>
        <w:t>Prichard, J., Turnbull, J., Halford, S., &amp; Pope, C. (2014). Trusting technical change in call centres. Work, Employment and Society, 28(5). DOI: 10.1177/0950017013510763.</w:t>
      </w:r>
    </w:p>
    <w:p>
      <w:pPr>
        <w:pStyle w:val="ListBullet"/>
        <w:spacing w:after="40" w:line="240" w:lineRule="auto"/>
      </w:pPr>
      <w:r>
        <w:rPr>
          <w:sz w:val="18"/>
        </w:rPr>
        <w:t>Bell, Z., Porcellato, L., Holland, P., Morris, A., Moran, P., &amp; Graves, L. (2026). Sequential mixed methods study: exploring the adoption, implementation and evaluation of contact centre health initiatives. International Journal of Workplace Health Management, 19(3), 289–305. DOI: 10.1108/IJWHM-05-2025-0094.</w:t>
      </w:r>
    </w:p>
    <w:p>
      <w:pPr>
        <w:pStyle w:val="ListBullet"/>
        <w:spacing w:after="40" w:line="240" w:lineRule="auto"/>
      </w:pPr>
      <w:r>
        <w:rPr>
          <w:sz w:val="18"/>
        </w:rPr>
        <w:t>Organizational Factors Affecting Successful Implementation of Chatbots for Customer Service (2021). Study of six organizations and 14 interviews; identifies work/team organization, change management, competencies, resources and performance measures as implementation factors.</w:t>
      </w:r>
    </w:p>
    <w:p>
      <w:pPr>
        <w:pStyle w:val="ListBullet"/>
        <w:spacing w:after="40" w:line="240" w:lineRule="auto"/>
      </w:pPr>
      <w:r>
        <w:rPr>
          <w:sz w:val="18"/>
        </w:rPr>
        <w:t>Ferede, W. L., &amp; Getahun, D. A. (2026). Strategic leadership and change management: a systematic and meta-analysis. Journal of Innovation and Entrepreneurship, 15, Article 32.</w:t>
      </w:r>
    </w:p>
    <w:p>
      <w:pPr>
        <w:pStyle w:val="ListBullet"/>
        <w:spacing w:after="40" w:line="240" w:lineRule="auto"/>
      </w:pPr>
      <w:r>
        <w:rPr>
          <w:sz w:val="18"/>
        </w:rPr>
        <w:t>Harvey et al. (2024). The ripple effect of strain in times of change: how manager emotional exhaustion affects team psychological safety and readiness to change. Multilevel study of 372 employees and 62 managers across 74 teams.</w:t>
      </w:r>
    </w:p>
    <w:p>
      <w:pPr>
        <w:pStyle w:val="Heading1"/>
      </w:pPr>
      <w:r>
        <w:t>21. Change Readiness vs. Change Capacity</w:t>
      </w:r>
    </w:p>
    <w:p>
      <w:r>
        <w:t>Protocol v1.2 formally separates readiness from capacity. Readiness concerns willingness, commitment, confidence, and perceived capability to engage with a specific change. Change capacity concerns whether the surrounding work system has sufficient time, attention, resources, staffing, learning space, leadership bandwidth, technological stability, and sequencing discipline for adaptation to occur. An employee or team may be ready for change while lacking the practical capacity to absorb it.</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Construct</w:t>
            </w:r>
          </w:p>
        </w:tc>
        <w:tc>
          <w:tcPr>
            <w:tcW w:type="dxa" w:w="3312"/>
            <w:shd w:fill="0B3A53"/>
          </w:tcPr>
          <w:p>
            <w:r>
              <w:rPr>
                <w:b/>
                <w:color w:val="FFFFFF"/>
              </w:rPr>
              <w:t>Primary Question</w:t>
            </w:r>
          </w:p>
        </w:tc>
        <w:tc>
          <w:tcPr>
            <w:tcW w:type="dxa" w:w="3312"/>
            <w:shd w:fill="0B3A53"/>
          </w:tcPr>
          <w:p>
            <w:r>
              <w:rPr>
                <w:b/>
                <w:color w:val="FFFFFF"/>
              </w:rPr>
              <w:t>Illustrative Indicators</w:t>
            </w:r>
          </w:p>
        </w:tc>
      </w:tr>
      <w:tr>
        <w:tc>
          <w:tcPr>
            <w:tcW w:type="dxa" w:w="3312"/>
          </w:tcPr>
          <w:p>
            <w:r>
              <w:t>Change Readiness</w:t>
            </w:r>
          </w:p>
        </w:tc>
        <w:tc>
          <w:tcPr>
            <w:tcW w:type="dxa" w:w="3312"/>
          </w:tcPr>
          <w:p>
            <w:r>
              <w:t>Can and will people engage with this change?</w:t>
            </w:r>
          </w:p>
        </w:tc>
        <w:tc>
          <w:tcPr>
            <w:tcW w:type="dxa" w:w="3312"/>
          </w:tcPr>
          <w:p>
            <w:r>
              <w:t>Change commitment, efficacy/confidence, perceived value, willingness to learn, behavioral intention.</w:t>
            </w:r>
          </w:p>
        </w:tc>
      </w:tr>
      <w:tr>
        <w:tc>
          <w:tcPr>
            <w:tcW w:type="dxa" w:w="3312"/>
          </w:tcPr>
          <w:p>
            <w:r>
              <w:t>Change Capacity</w:t>
            </w:r>
          </w:p>
        </w:tc>
        <w:tc>
          <w:tcPr>
            <w:tcW w:type="dxa" w:w="3312"/>
          </w:tcPr>
          <w:p>
            <w:r>
              <w:t>Has the work system created enough room to absorb this change?</w:t>
            </w:r>
          </w:p>
        </w:tc>
        <w:tc>
          <w:tcPr>
            <w:tcW w:type="dxa" w:w="3312"/>
          </w:tcPr>
          <w:p>
            <w:r>
              <w:t>Workload headroom, staffing coverage, learning/practice time, supervisor bandwidth, resource availability, technology stability, initiative overlap, recovery time.</w:t>
            </w:r>
          </w:p>
        </w:tc>
      </w:tr>
      <w:tr>
        <w:tc>
          <w:tcPr>
            <w:tcW w:type="dxa" w:w="3312"/>
          </w:tcPr>
          <w:p>
            <w:r>
              <w:t>Change Load / Disruption</w:t>
            </w:r>
          </w:p>
        </w:tc>
        <w:tc>
          <w:tcPr>
            <w:tcW w:type="dxa" w:w="3312"/>
          </w:tcPr>
          <w:p>
            <w:r>
              <w:t>How much change is arriving and how demanding is it?</w:t>
            </w:r>
          </w:p>
        </w:tc>
        <w:tc>
          <w:tcPr>
            <w:tcW w:type="dxa" w:w="3312"/>
          </w:tcPr>
          <w:p>
            <w:r>
              <w:t>Number, simultaneity, magnitude, interdependence, novelty, timing, reversals and competing priorities.</w:t>
            </w:r>
          </w:p>
        </w:tc>
      </w:tr>
      <w:tr>
        <w:tc>
          <w:tcPr>
            <w:tcW w:type="dxa" w:w="3312"/>
          </w:tcPr>
          <w:p>
            <w:r>
              <w:t>Change Saturation</w:t>
            </w:r>
          </w:p>
        </w:tc>
        <w:tc>
          <w:tcPr>
            <w:tcW w:type="dxa" w:w="3312"/>
          </w:tcPr>
          <w:p>
            <w:r>
              <w:t>Does change load exceed available capacity?</w:t>
            </w:r>
          </w:p>
        </w:tc>
        <w:tc>
          <w:tcPr>
            <w:tcW w:type="dxa" w:w="3312"/>
          </w:tcPr>
          <w:p>
            <w:r>
              <w:t>Accumulated overload, delayed adoption, errors/rework, fatigue, withdrawal, degraded service or abandoned initiatives.</w:t>
            </w:r>
          </w:p>
        </w:tc>
      </w:tr>
    </w:tbl>
    <w:p>
      <w:r>
        <w:t>The study will not infer low readiness merely because implementation is struggling. It will test whether readiness, capacity, and change load make distinct contributions to adaptation and outcomes.</w:t>
      </w:r>
    </w:p>
    <w:p>
      <w:pPr>
        <w:pStyle w:val="Heading1"/>
      </w:pPr>
      <w:r>
        <w:t>22. Additional Hypothesis — Structural Capacity</w:t>
      </w:r>
    </w:p>
    <w:p>
      <w:r>
        <w:t>H10 — Readiness–Capacity Distinction: Higher readiness will not reliably produce successful adaptation when change capacity is inadequate. The positive relationship between readiness and adaptation is expected to weaken as workload, overlapping initiatives, insufficient learning time, unstable technology, staffing pressure, or limited supervisor bandwidth increase.</w:t>
      </w:r>
    </w:p>
    <w:p>
      <w:r>
        <w:t>This is intentionally falsifiable. If readiness predicts adaptation similarly regardless of capacity constraints, the proposed readiness–capacity distinction will be weakened and should not become a central ResolveCX construct.</w:t>
      </w:r>
    </w:p>
    <w:p>
      <w:pPr>
        <w:pStyle w:val="Heading1"/>
      </w:pPr>
      <w:r>
        <w:t>23. Additional Falsification Tests</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ID</w:t>
            </w:r>
          </w:p>
        </w:tc>
        <w:tc>
          <w:tcPr>
            <w:tcW w:type="dxa" w:w="4968"/>
            <w:shd w:fill="0B3A53"/>
          </w:tcPr>
          <w:p>
            <w:r>
              <w:rPr>
                <w:b/>
                <w:color w:val="FFFFFF"/>
              </w:rPr>
              <w:t>Condition that would weaken or revise the capacity thesis</w:t>
            </w:r>
          </w:p>
        </w:tc>
      </w:tr>
      <w:tr>
        <w:tc>
          <w:tcPr>
            <w:tcW w:type="dxa" w:w="4968"/>
          </w:tcPr>
          <w:p>
            <w:r>
              <w:t>F11</w:t>
            </w:r>
          </w:p>
        </w:tc>
        <w:tc>
          <w:tcPr>
            <w:tcW w:type="dxa" w:w="4968"/>
          </w:tcPr>
          <w:p>
            <w:r>
              <w:t>Change-capacity measures do not add explanatory or predictive value beyond established readiness, job-demand, resource, and implementation-quality measures.</w:t>
            </w:r>
          </w:p>
        </w:tc>
      </w:tr>
      <w:tr>
        <w:tc>
          <w:tcPr>
            <w:tcW w:type="dxa" w:w="4968"/>
          </w:tcPr>
          <w:p>
            <w:r>
              <w:t>F12</w:t>
            </w:r>
          </w:p>
        </w:tc>
        <w:tc>
          <w:tcPr>
            <w:tcW w:type="dxa" w:w="4968"/>
          </w:tcPr>
          <w:p>
            <w:r>
              <w:t>The readiness × capacity interaction is absent or fails to replicate across employers/change types.</w:t>
            </w:r>
          </w:p>
        </w:tc>
      </w:tr>
      <w:tr>
        <w:tc>
          <w:tcPr>
            <w:tcW w:type="dxa" w:w="4968"/>
          </w:tcPr>
          <w:p>
            <w:r>
              <w:t>F13</w:t>
            </w:r>
          </w:p>
        </w:tc>
        <w:tc>
          <w:tcPr>
            <w:tcW w:type="dxa" w:w="4968"/>
          </w:tcPr>
          <w:p>
            <w:r>
              <w:t>Employees reporting high change load but adequate capacity do not differ meaningfully from employees reporting low load.</w:t>
            </w:r>
          </w:p>
        </w:tc>
      </w:tr>
      <w:tr>
        <w:tc>
          <w:tcPr>
            <w:tcW w:type="dxa" w:w="4968"/>
          </w:tcPr>
          <w:p>
            <w:r>
              <w:t>F14</w:t>
            </w:r>
          </w:p>
        </w:tc>
        <w:tc>
          <w:tcPr>
            <w:tcW w:type="dxa" w:w="4968"/>
          </w:tcPr>
          <w:p>
            <w:r>
              <w:t>A proposed capacity measure cannot be distinguished psychometrically from workload, burnout, staffing pressure, or general organizational support.</w:t>
            </w:r>
          </w:p>
        </w:tc>
      </w:tr>
      <w:tr>
        <w:tc>
          <w:tcPr>
            <w:tcW w:type="dxa" w:w="4968"/>
          </w:tcPr>
          <w:p>
            <w:r>
              <w:t>F15</w:t>
            </w:r>
          </w:p>
        </w:tc>
        <w:tc>
          <w:tcPr>
            <w:tcW w:type="dxa" w:w="4968"/>
          </w:tcPr>
          <w:p>
            <w:r>
              <w:t>Capacity predicts attitudes but does not predict adoption behavior, performance recovery, implementation quality, or other meaningful outcomes.</w:t>
            </w:r>
          </w:p>
        </w:tc>
      </w:tr>
    </w:tbl>
    <w:p>
      <w:pPr>
        <w:pStyle w:val="Heading1"/>
      </w:pPr>
      <w:r>
        <w:t>24. Measurement Guardrails for Change Capacity</w:t>
      </w:r>
    </w:p>
    <w:p>
      <w:pPr>
        <w:pStyle w:val="ListBullet"/>
      </w:pPr>
      <w:r>
        <w:t>Do not create a proprietary Change Capacity Index until dimensionality, reliability, validity, fairness, and incremental value are demonstrated.</w:t>
      </w:r>
    </w:p>
    <w:p>
      <w:pPr>
        <w:pStyle w:val="ListBullet"/>
      </w:pPr>
      <w:r>
        <w:t>Measure both change load and available resources; a count of initiatives alone is not a capacity measure.</w:t>
      </w:r>
    </w:p>
    <w:p>
      <w:pPr>
        <w:pStyle w:val="ListBullet"/>
      </w:pPr>
      <w:r>
        <w:t>Separate individual recovery/attention capacity from team and organizational implementation resources.</w:t>
      </w:r>
    </w:p>
    <w:p>
      <w:pPr>
        <w:pStyle w:val="ListBullet"/>
      </w:pPr>
      <w:r>
        <w:t>Where possible, corroborate employee perceptions with implementation calendars, training time, staffing/WFM data, technology incidents, supervisor spans, and rollout records.</w:t>
      </w:r>
    </w:p>
    <w:p>
      <w:pPr>
        <w:pStyle w:val="ListBullet"/>
      </w:pPr>
      <w:r>
        <w:t>Avoid treating fatigue as proof of low individual resilience; fatigue may be an outcome of repeated uncertainty, workload, poor sequencing, or inadequate resources.</w:t>
      </w:r>
    </w:p>
    <w:p>
      <w:pPr>
        <w:pStyle w:val="ListBullet"/>
      </w:pPr>
      <w:r>
        <w:t>Test whether established measures such as organizational readiness and job-demands/resources constructs explain the data adequately before claiming a new construct is necessary.</w:t>
      </w:r>
    </w:p>
    <w:p>
      <w:pPr>
        <w:pStyle w:val="Heading1"/>
      </w:pPr>
      <w:r>
        <w:t>25. Evidence Upgrade for the Readiness–Capacity Distinction</w:t>
      </w:r>
    </w:p>
    <w:p>
      <w:r>
        <w:t>The evidence registry must now separately code sources addressing readiness, implementation resources/capability, organizational capacity for change, change frequency/load, change fatigue, and saturation. This prevents the study from relabeling existing constructs without demonstrating incremental conceptual or predictive value.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Evidence Anchor</w:t>
            </w:r>
          </w:p>
        </w:tc>
        <w:tc>
          <w:tcPr>
            <w:tcW w:type="dxa" w:w="3312"/>
            <w:shd w:fill="0B3A53"/>
          </w:tcPr>
          <w:p>
            <w:r>
              <w:rPr>
                <w:b/>
                <w:color w:val="FFFFFF"/>
              </w:rPr>
              <w:t>What It Adds</w:t>
            </w:r>
          </w:p>
        </w:tc>
        <w:tc>
          <w:tcPr>
            <w:tcW w:type="dxa" w:w="3312"/>
            <w:shd w:fill="0B3A53"/>
          </w:tcPr>
          <w:p>
            <w:r>
              <w:rPr>
                <w:b/>
                <w:color w:val="FFFFFF"/>
              </w:rPr>
              <w:t>How It Constrains ResolveCX</w:t>
            </w:r>
          </w:p>
        </w:tc>
      </w:tr>
      <w:tr>
        <w:tc>
          <w:tcPr>
            <w:tcW w:type="dxa" w:w="3312"/>
          </w:tcPr>
          <w:p>
            <w:r>
              <w:t>Weiner (2009), Implementation Science</w:t>
            </w:r>
          </w:p>
        </w:tc>
        <w:tc>
          <w:tcPr>
            <w:tcW w:type="dxa" w:w="3312"/>
          </w:tcPr>
          <w:p>
            <w:r>
              <w:t>Defines organizational readiness through shared commitment and efficacy; identifies task demands, resource availability and situational factors as determinants of implementation capability.</w:t>
            </w:r>
          </w:p>
        </w:tc>
        <w:tc>
          <w:tcPr>
            <w:tcW w:type="dxa" w:w="3312"/>
          </w:tcPr>
          <w:p>
            <w:r>
              <w:t>Readiness already incorporates capability appraisals; ResolveCX must prove that any separate capacity construct adds value rather than duplicating readiness.</w:t>
            </w:r>
          </w:p>
        </w:tc>
      </w:tr>
      <w:tr>
        <w:tc>
          <w:tcPr>
            <w:tcW w:type="dxa" w:w="3312"/>
          </w:tcPr>
          <w:p>
            <w:r>
              <w:t>Shea et al. (2014), Implementation Science — ORIC</w:t>
            </w:r>
          </w:p>
        </w:tc>
        <w:tc>
          <w:tcPr>
            <w:tcW w:type="dxa" w:w="3312"/>
          </w:tcPr>
          <w:p>
            <w:r>
              <w:t>Four-study psychometric development of a theory-based readiness measure distinguishing readiness facets from determinants.</w:t>
            </w:r>
          </w:p>
        </w:tc>
        <w:tc>
          <w:tcPr>
            <w:tcW w:type="dxa" w:w="3312"/>
          </w:tcPr>
          <w:p>
            <w:r>
              <w:t>Requires construct separation and psychometric evidence before creating a new ResolveCX measure.</w:t>
            </w:r>
          </w:p>
        </w:tc>
      </w:tr>
      <w:tr>
        <w:tc>
          <w:tcPr>
            <w:tcW w:type="dxa" w:w="3312"/>
          </w:tcPr>
          <w:p>
            <w:r>
              <w:t>Heckmann, Steger &amp; Dowling (2016), Journal of Business Research</w:t>
            </w:r>
          </w:p>
        </w:tc>
        <w:tc>
          <w:tcPr>
            <w:tcW w:type="dxa" w:w="3312"/>
          </w:tcPr>
          <w:p>
            <w:r>
              <w:t>Organizational capacity for change was positively associated with change-project performance; technological turbulence weakened the effect.</w:t>
            </w:r>
          </w:p>
        </w:tc>
        <w:tc>
          <w:tcPr>
            <w:tcW w:type="dxa" w:w="3312"/>
          </w:tcPr>
          <w:p>
            <w:r>
              <w:t>Supports capacity as an organizational concept while showing contextual moderation.</w:t>
            </w:r>
          </w:p>
        </w:tc>
      </w:tr>
      <w:tr>
        <w:tc>
          <w:tcPr>
            <w:tcW w:type="dxa" w:w="3312"/>
          </w:tcPr>
          <w:p>
            <w:r>
              <w:t>de Vries &amp; de Vries (2021), Public Money &amp; Management</w:t>
            </w:r>
          </w:p>
        </w:tc>
        <w:tc>
          <w:tcPr>
            <w:tcW w:type="dxa" w:w="3312"/>
          </w:tcPr>
          <w:p>
            <w:r>
              <w:t>Repetitive reorganizations were linked with change fatigue; uncertainty and workload were mediating factors.</w:t>
            </w:r>
          </w:p>
        </w:tc>
        <w:tc>
          <w:tcPr>
            <w:tcW w:type="dxa" w:w="3312"/>
          </w:tcPr>
          <w:p>
            <w:r>
              <w:t>Supports workload/uncertainty mechanisms and warns against attributing fatigue to employee disposition.</w:t>
            </w:r>
          </w:p>
        </w:tc>
      </w:tr>
      <w:tr>
        <w:tc>
          <w:tcPr>
            <w:tcW w:type="dxa" w:w="3312"/>
          </w:tcPr>
          <w:p>
            <w:r>
              <w:t>Change-fatigue empirical research (2022), Journal of Organizational Change Management</w:t>
            </w:r>
          </w:p>
        </w:tc>
        <w:tc>
          <w:tcPr>
            <w:tcW w:type="dxa" w:w="3312"/>
          </w:tcPr>
          <w:p>
            <w:r>
              <w:t>Change frequency predicted fatigue; fatigue related to strain, burnout, turnover intention, engagement and performance pathways.</w:t>
            </w:r>
          </w:p>
        </w:tc>
        <w:tc>
          <w:tcPr>
            <w:tcW w:type="dxa" w:w="3312"/>
          </w:tcPr>
          <w:p>
            <w:r>
              <w:t>Supports studying accumulated change load; cross-sectional design limits causal claims.</w:t>
            </w:r>
          </w:p>
        </w:tc>
      </w:tr>
      <w:tr>
        <w:tc>
          <w:tcPr>
            <w:tcW w:type="dxa" w:w="3312"/>
          </w:tcPr>
          <w:p>
            <w:r>
              <w:t>Reske (2026), Academy of Management Proceedings</w:t>
            </w:r>
          </w:p>
        </w:tc>
        <w:tc>
          <w:tcPr>
            <w:tcW w:type="dxa" w:w="3312"/>
          </w:tcPr>
          <w:p>
            <w:r>
              <w:t>Current work explicitly examines change capacity under multiple simultaneous changes competing for resources and sensemaking bandwidth.</w:t>
            </w:r>
          </w:p>
        </w:tc>
        <w:tc>
          <w:tcPr>
            <w:tcW w:type="dxa" w:w="3312"/>
          </w:tcPr>
          <w:p>
            <w:r>
              <w:t>Highly relevant emerging framework, but conference/doctoral work is not sufficient to validate the ResolveCX construct.</w:t>
            </w:r>
          </w:p>
        </w:tc>
      </w:tr>
    </w:tbl>
    <w:p>
      <w:r>
        <w:t>Vendor change-saturation frameworks may be retained as contextual/practice evidence only. They cannot establish the validity or causal effect of a ResolveCX readiness–capacity model.</w:t>
      </w:r>
    </w:p>
    <w:p>
      <w:pPr>
        <w:pStyle w:val="Heading1"/>
      </w:pPr>
      <w:r>
        <w:t>26. Ongoing Research Publication Status</w:t>
      </w:r>
    </w:p>
    <w:p>
      <w:r>
        <w:t>Research Status: Ongoing. Study #005 may be introduced publicly while evidence collection continues. Existing literature establishes the foundation for the questions and competing explanations, but ResolveCX findings are not final. Interviews, surveys, organizational data, longitudinal observations, and replication may support, narrow, contradict, or reject the hypotheses.</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Public Status</w:t>
            </w:r>
          </w:p>
        </w:tc>
        <w:tc>
          <w:tcPr>
            <w:tcW w:type="dxa" w:w="4968"/>
            <w:shd w:fill="0B3A53"/>
          </w:tcPr>
          <w:p>
            <w:r>
              <w:rPr>
                <w:b/>
                <w:color w:val="FFFFFF"/>
              </w:rPr>
              <w:t>Meaning</w:t>
            </w:r>
          </w:p>
        </w:tc>
      </w:tr>
      <w:tr>
        <w:tc>
          <w:tcPr>
            <w:tcW w:type="dxa" w:w="4968"/>
          </w:tcPr>
          <w:p>
            <w:r>
              <w:t>Research question established</w:t>
            </w:r>
          </w:p>
        </w:tc>
        <w:tc>
          <w:tcPr>
            <w:tcW w:type="dxa" w:w="4968"/>
          </w:tcPr>
          <w:p>
            <w:r>
              <w:t>The question is sufficiently grounded to investigate.</w:t>
            </w:r>
          </w:p>
        </w:tc>
      </w:tr>
      <w:tr>
        <w:tc>
          <w:tcPr>
            <w:tcW w:type="dxa" w:w="4968"/>
          </w:tcPr>
          <w:p>
            <w:r>
              <w:t>Evidence foundation developing</w:t>
            </w:r>
          </w:p>
        </w:tc>
        <w:tc>
          <w:tcPr>
            <w:tcW w:type="dxa" w:w="4968"/>
          </w:tcPr>
          <w:p>
            <w:r>
              <w:t>Published evidence informs hypotheses but does not constitute a ResolveCX finding.</w:t>
            </w:r>
          </w:p>
        </w:tc>
      </w:tr>
      <w:tr>
        <w:tc>
          <w:tcPr>
            <w:tcW w:type="dxa" w:w="4968"/>
          </w:tcPr>
          <w:p>
            <w:r>
              <w:t>Data collection ongoing</w:t>
            </w:r>
          </w:p>
        </w:tc>
        <w:tc>
          <w:tcPr>
            <w:tcW w:type="dxa" w:w="4968"/>
          </w:tcPr>
          <w:p>
            <w:r>
              <w:t>Interviews, surveys and organizational evidence remain in progress.</w:t>
            </w:r>
          </w:p>
        </w:tc>
      </w:tr>
      <w:tr>
        <w:tc>
          <w:tcPr>
            <w:tcW w:type="dxa" w:w="4968"/>
          </w:tcPr>
          <w:p>
            <w:r>
              <w:t>Preliminary finding</w:t>
            </w:r>
          </w:p>
        </w:tc>
        <w:tc>
          <w:tcPr>
            <w:tcW w:type="dxa" w:w="4968"/>
          </w:tcPr>
          <w:p>
            <w:r>
              <w:t>Pattern observed but not yet sufficiently validated or replicated.</w:t>
            </w:r>
          </w:p>
        </w:tc>
      </w:tr>
      <w:tr>
        <w:tc>
          <w:tcPr>
            <w:tcW w:type="dxa" w:w="4968"/>
          </w:tcPr>
          <w:p>
            <w:r>
              <w:t>Supported / mixed / not supported</w:t>
            </w:r>
          </w:p>
        </w:tc>
        <w:tc>
          <w:tcPr>
            <w:tcW w:type="dxa" w:w="4968"/>
          </w:tcPr>
          <w:p>
            <w:r>
              <w:t>Assigned only after the relevant analysis is completed.</w:t>
            </w:r>
          </w:p>
        </w:tc>
      </w:tr>
      <w:tr>
        <w:tc>
          <w:tcPr>
            <w:tcW w:type="dxa" w:w="4968"/>
          </w:tcPr>
          <w:p>
            <w:r>
              <w:t>Replicated / validated</w:t>
            </w:r>
          </w:p>
        </w:tc>
        <w:tc>
          <w:tcPr>
            <w:tcW w:type="dxa" w:w="4968"/>
          </w:tcPr>
          <w:p>
            <w:r>
              <w:t>Reserved for evidence meeting the protocol's replication and measurement standards.</w:t>
            </w:r>
          </w:p>
        </w:tc>
      </w:tr>
    </w:tbl>
    <w:p>
      <w:pPr>
        <w:pStyle w:val="Heading1"/>
      </w:pPr>
      <w:r>
        <w:t>27. Final Protocol Release Conditions</w:t>
      </w:r>
    </w:p>
    <w:p>
      <w:pPr>
        <w:pStyle w:val="ListBullet"/>
      </w:pPr>
      <w:r>
        <w:t>Use the public label 'Ongoing Research' until evidence supports a stronger status.</w:t>
      </w:r>
    </w:p>
    <w:p>
      <w:pPr>
        <w:pStyle w:val="ListBullet"/>
      </w:pPr>
      <w:r>
        <w:t>Maintain separate constructs for readiness, capacity, load/disruption, implementation quality, fatigue and outcomes unless empirical evidence supports consolidation.</w:t>
      </w:r>
    </w:p>
    <w:p>
      <w:pPr>
        <w:pStyle w:val="ListBullet"/>
      </w:pPr>
      <w:r>
        <w:t>Expand the Evidence Registry toward 25+ high-relevance sources, deliberately including contradictory and null evidence.</w:t>
      </w:r>
    </w:p>
    <w:p>
      <w:pPr>
        <w:pStyle w:val="ListBullet"/>
      </w:pPr>
      <w:r>
        <w:t>Cognitively test all new survey items that remain necessary after the Evidence Sufficiency Review before broad field use.</w:t>
      </w:r>
    </w:p>
    <w:p>
      <w:pPr>
        <w:pStyle w:val="ListBullet"/>
      </w:pPr>
      <w:r>
        <w:t>Preregister confirmatory hypotheses, primary outcomes, exclusions, covariates and interaction tests.</w:t>
      </w:r>
    </w:p>
    <w:p>
      <w:pPr>
        <w:pStyle w:val="ListBullet"/>
      </w:pPr>
      <w:r>
        <w:t>Require longitudinal or strong quasi-experimental evidence before causal language.</w:t>
      </w:r>
    </w:p>
    <w:p>
      <w:pPr>
        <w:pStyle w:val="ListBullet"/>
      </w:pPr>
      <w:r>
        <w:t>Require cross-employer/change-type replication before portable or industry-wide claims.</w:t>
      </w:r>
    </w:p>
    <w:p>
      <w:pPr>
        <w:pStyle w:val="ListBullet"/>
      </w:pPr>
      <w:r>
        <w:t>Update public conclusions when evidence changes, including when findings weaken the ResolveCX thesis.</w:t>
      </w:r>
    </w:p>
    <w:p>
      <w:r>
        <w:br w:type="page"/>
      </w:r>
    </w:p>
    <w:p>
      <w:pPr>
        <w:pStyle w:val="Heading1"/>
      </w:pPr>
      <w:r>
        <w:t>Evidence Sufficiency Amendment — External Evidence First</w:t>
      </w:r>
    </w:p>
    <w:p>
      <w:r>
        <w:t>Research Status: Ongoing. This amendment supersedes any earlier wording that could be read as requiring surveys or interviews by default. ResolveCX will use the strongest credible external evidence and existing datasets first. Original interviews, surveys, employer data, longitudinal collection, or intervention research will be used only when they answer a material question that existing evidence cannot answer with sufficient relevance, quality, recency, population fit, or causal strength.</w:t>
      </w:r>
    </w:p>
    <w:p>
      <w:pPr>
        <w:pStyle w:val="Heading2"/>
      </w:pPr>
      <w:r>
        <w:t>Evidence Sufficiency Decision Framework</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Evidence status</w:t>
            </w:r>
          </w:p>
        </w:tc>
        <w:tc>
          <w:tcPr>
            <w:tcW w:type="dxa" w:w="4968"/>
            <w:shd w:fill="0B3A53"/>
          </w:tcPr>
          <w:p>
            <w:r>
              <w:rPr>
                <w:b/>
                <w:color w:val="FFFFFF"/>
                <w:sz w:val="18"/>
              </w:rPr>
              <w:t>Decision rule</w:t>
            </w:r>
          </w:p>
        </w:tc>
      </w:tr>
      <w:tr>
        <w:tc>
          <w:tcPr>
            <w:tcW w:type="dxa" w:w="4968"/>
          </w:tcPr>
          <w:p>
            <w:r>
              <w:rPr>
                <w:sz w:val="17"/>
              </w:rPr>
              <w:t>ESTABLISHED</w:t>
            </w:r>
          </w:p>
        </w:tc>
        <w:tc>
          <w:tcPr>
            <w:tcW w:type="dxa" w:w="4968"/>
          </w:tcPr>
          <w:p>
            <w:r>
              <w:rPr>
                <w:sz w:val="17"/>
              </w:rPr>
              <w:t>Adopt the finding as external evidence. Do not repeat primary research merely to reproduce it.</w:t>
            </w:r>
          </w:p>
        </w:tc>
      </w:tr>
      <w:tr>
        <w:tc>
          <w:tcPr>
            <w:tcW w:type="dxa" w:w="4968"/>
          </w:tcPr>
          <w:p>
            <w:r>
              <w:rPr>
                <w:sz w:val="17"/>
              </w:rPr>
              <w:t>SUPPORTED BUT TRANSFERABILITY UNKNOWN</w:t>
            </w:r>
          </w:p>
        </w:tc>
        <w:tc>
          <w:tcPr>
            <w:tcW w:type="dxa" w:w="4968"/>
          </w:tcPr>
          <w:p>
            <w:r>
              <w:rPr>
                <w:sz w:val="17"/>
              </w:rPr>
              <w:t>Collect only the minimum targeted evidence needed to test applicability to modern contact-center settings.</w:t>
            </w:r>
          </w:p>
        </w:tc>
      </w:tr>
      <w:tr>
        <w:tc>
          <w:tcPr>
            <w:tcW w:type="dxa" w:w="4968"/>
          </w:tcPr>
          <w:p>
            <w:r>
              <w:rPr>
                <w:sz w:val="17"/>
              </w:rPr>
              <w:t>MIXED</w:t>
            </w:r>
          </w:p>
        </w:tc>
        <w:tc>
          <w:tcPr>
            <w:tcW w:type="dxa" w:w="4968"/>
          </w:tcPr>
          <w:p>
            <w:r>
              <w:rPr>
                <w:sz w:val="17"/>
              </w:rPr>
              <w:t>Investigate moderators, contexts, mechanisms, measurement differences, and reasons credible studies disagree.</w:t>
            </w:r>
          </w:p>
        </w:tc>
      </w:tr>
      <w:tr>
        <w:tc>
          <w:tcPr>
            <w:tcW w:type="dxa" w:w="4968"/>
          </w:tcPr>
          <w:p>
            <w:r>
              <w:rPr>
                <w:sz w:val="17"/>
              </w:rPr>
              <w:t>EVIDENCE GAP</w:t>
            </w:r>
          </w:p>
        </w:tc>
        <w:tc>
          <w:tcPr>
            <w:tcW w:type="dxa" w:w="4968"/>
          </w:tcPr>
          <w:p>
            <w:r>
              <w:rPr>
                <w:sz w:val="17"/>
              </w:rPr>
              <w:t>Primary research is justified if the unanswered question is material to ResolveCX.</w:t>
            </w:r>
          </w:p>
        </w:tc>
      </w:tr>
      <w:tr>
        <w:tc>
          <w:tcPr>
            <w:tcW w:type="dxa" w:w="4968"/>
          </w:tcPr>
          <w:p>
            <w:r>
              <w:rPr>
                <w:sz w:val="17"/>
              </w:rPr>
              <w:t>CONTRADICTED</w:t>
            </w:r>
          </w:p>
        </w:tc>
        <w:tc>
          <w:tcPr>
            <w:tcW w:type="dxa" w:w="4968"/>
          </w:tcPr>
          <w:p>
            <w:r>
              <w:rPr>
                <w:sz w:val="17"/>
              </w:rPr>
              <w:t>Revise, narrow, or reject the hypothesis unless a clearly documented context-specific reason justifies further testing.</w:t>
            </w:r>
          </w:p>
        </w:tc>
      </w:tr>
      <w:tr>
        <w:tc>
          <w:tcPr>
            <w:tcW w:type="dxa" w:w="4968"/>
          </w:tcPr>
          <w:p>
            <w:r>
              <w:rPr>
                <w:sz w:val="17"/>
              </w:rPr>
              <w:t>RESOLVECX-SPECIFIC GAP</w:t>
            </w:r>
          </w:p>
        </w:tc>
        <w:tc>
          <w:tcPr>
            <w:tcW w:type="dxa" w:w="4968"/>
          </w:tcPr>
          <w:p>
            <w:r>
              <w:rPr>
                <w:sz w:val="17"/>
              </w:rPr>
              <w:t>General theory may be established, but ResolveCX's proposed preparation, assessment, pathway, or intervention remains untested and requires direct evidence before effectiveness claims.</w:t>
            </w:r>
          </w:p>
        </w:tc>
      </w:tr>
    </w:tbl>
    <w:p>
      <w:pPr>
        <w:pStyle w:val="Heading2"/>
      </w:pPr>
      <w:r>
        <w:t>Hypothesis-Level Evidence Triage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sz w:val="18"/>
              </w:rPr>
              <w:t>Hypothesis</w:t>
            </w:r>
          </w:p>
        </w:tc>
        <w:tc>
          <w:tcPr>
            <w:tcW w:type="dxa" w:w="3312"/>
            <w:shd w:fill="0B3A53"/>
          </w:tcPr>
          <w:p>
            <w:r>
              <w:rPr>
                <w:b/>
                <w:color w:val="FFFFFF"/>
                <w:sz w:val="18"/>
              </w:rPr>
              <w:t>Current evidence decision</w:t>
            </w:r>
          </w:p>
        </w:tc>
        <w:tc>
          <w:tcPr>
            <w:tcW w:type="dxa" w:w="3312"/>
            <w:shd w:fill="0B3A53"/>
          </w:tcPr>
          <w:p>
            <w:r>
              <w:rPr>
                <w:b/>
                <w:color w:val="FFFFFF"/>
                <w:sz w:val="18"/>
              </w:rPr>
              <w:t>Implication for new data</w:t>
            </w:r>
          </w:p>
        </w:tc>
      </w:tr>
      <w:tr>
        <w:tc>
          <w:tcPr>
            <w:tcW w:type="dxa" w:w="3312"/>
          </w:tcPr>
          <w:p>
            <w:r>
              <w:rPr>
                <w:sz w:val="17"/>
              </w:rPr>
              <w:t>H1 — Information and Efficacy</w:t>
            </w:r>
          </w:p>
        </w:tc>
        <w:tc>
          <w:tcPr>
            <w:tcW w:type="dxa" w:w="3312"/>
          </w:tcPr>
          <w:p>
            <w:r>
              <w:rPr>
                <w:sz w:val="17"/>
              </w:rPr>
              <w:t>ESTABLISHED FOUNDATION</w:t>
            </w:r>
          </w:p>
        </w:tc>
        <w:tc>
          <w:tcPr>
            <w:tcW w:type="dxa" w:w="3312"/>
          </w:tcPr>
          <w:p>
            <w:r>
              <w:rPr>
                <w:sz w:val="17"/>
              </w:rPr>
              <w:t>Longitudinal and readiness research already supports information and efficacy mechanisms. Original data should focus on contact-center transfer and implementation conditions.</w:t>
            </w:r>
          </w:p>
        </w:tc>
      </w:tr>
      <w:tr>
        <w:tc>
          <w:tcPr>
            <w:tcW w:type="dxa" w:w="3312"/>
          </w:tcPr>
          <w:p>
            <w:r>
              <w:rPr>
                <w:sz w:val="17"/>
              </w:rPr>
              <w:t>H2 — Adaptability Is Context-Dependent</w:t>
            </w:r>
          </w:p>
        </w:tc>
        <w:tc>
          <w:tcPr>
            <w:tcW w:type="dxa" w:w="3312"/>
          </w:tcPr>
          <w:p>
            <w:r>
              <w:rPr>
                <w:sz w:val="17"/>
              </w:rPr>
              <w:t>SUPPORTED / BOUNDARY TEST</w:t>
            </w:r>
          </w:p>
        </w:tc>
        <w:tc>
          <w:tcPr>
            <w:tcW w:type="dxa" w:w="3312"/>
          </w:tcPr>
          <w:p>
            <w:r>
              <w:rPr>
                <w:sz w:val="17"/>
              </w:rPr>
              <w:t>Current research supports adaptability interacting with leadership/context; ResolveCX should test only strategically relevant boundary conditions.</w:t>
            </w:r>
          </w:p>
        </w:tc>
      </w:tr>
      <w:tr>
        <w:tc>
          <w:tcPr>
            <w:tcW w:type="dxa" w:w="3312"/>
          </w:tcPr>
          <w:p>
            <w:r>
              <w:rPr>
                <w:sz w:val="17"/>
              </w:rPr>
              <w:t>H3 — Change Load / Fatigue</w:t>
            </w:r>
          </w:p>
        </w:tc>
        <w:tc>
          <w:tcPr>
            <w:tcW w:type="dxa" w:w="3312"/>
          </w:tcPr>
          <w:p>
            <w:r>
              <w:rPr>
                <w:sz w:val="17"/>
              </w:rPr>
              <w:t>SUPPORTED</w:t>
            </w:r>
          </w:p>
        </w:tc>
        <w:tc>
          <w:tcPr>
            <w:tcW w:type="dxa" w:w="3312"/>
          </w:tcPr>
          <w:p>
            <w:r>
              <w:rPr>
                <w:sz w:val="17"/>
              </w:rPr>
              <w:t>Change-frequency/fatigue literature supports accumulated burden. Contact-center-specific thresholds and operational consequences remain open.</w:t>
            </w:r>
          </w:p>
        </w:tc>
      </w:tr>
      <w:tr>
        <w:tc>
          <w:tcPr>
            <w:tcW w:type="dxa" w:w="3312"/>
          </w:tcPr>
          <w:p>
            <w:r>
              <w:rPr>
                <w:sz w:val="17"/>
              </w:rPr>
              <w:t>H4 — Supervisor Translation</w:t>
            </w:r>
          </w:p>
        </w:tc>
        <w:tc>
          <w:tcPr>
            <w:tcW w:type="dxa" w:w="3312"/>
          </w:tcPr>
          <w:p>
            <w:r>
              <w:rPr>
                <w:sz w:val="17"/>
              </w:rPr>
              <w:t>SUPPORTED / STUDY #004 LINK</w:t>
            </w:r>
          </w:p>
        </w:tc>
        <w:tc>
          <w:tcPr>
            <w:tcW w:type="dxa" w:w="3312"/>
          </w:tcPr>
          <w:p>
            <w:r>
              <w:rPr>
                <w:sz w:val="17"/>
              </w:rPr>
              <w:t>Leadership evidence supports the mechanism. Avoid duplicate data collection; share constructs and identifiers with Study #004.</w:t>
            </w:r>
          </w:p>
        </w:tc>
      </w:tr>
      <w:tr>
        <w:tc>
          <w:tcPr>
            <w:tcW w:type="dxa" w:w="3312"/>
          </w:tcPr>
          <w:p>
            <w:r>
              <w:rPr>
                <w:sz w:val="17"/>
              </w:rPr>
              <w:t>H5 — Participation and Voice</w:t>
            </w:r>
          </w:p>
        </w:tc>
        <w:tc>
          <w:tcPr>
            <w:tcW w:type="dxa" w:w="3312"/>
          </w:tcPr>
          <w:p>
            <w:r>
              <w:rPr>
                <w:sz w:val="17"/>
              </w:rPr>
              <w:t>SUPPORTED BUT CONTEXTUAL</w:t>
            </w:r>
          </w:p>
        </w:tc>
        <w:tc>
          <w:tcPr>
            <w:tcW w:type="dxa" w:w="3312"/>
          </w:tcPr>
          <w:p>
            <w:r>
              <w:rPr>
                <w:sz w:val="17"/>
              </w:rPr>
              <w:t>Existing change research supports participation/voice, but when and how frontline input changes implementation quality remains context-dependent.</w:t>
            </w:r>
          </w:p>
        </w:tc>
      </w:tr>
      <w:tr>
        <w:tc>
          <w:tcPr>
            <w:tcW w:type="dxa" w:w="3312"/>
          </w:tcPr>
          <w:p>
            <w:r>
              <w:rPr>
                <w:sz w:val="17"/>
              </w:rPr>
              <w:t>H6 — Training Transfer</w:t>
            </w:r>
          </w:p>
        </w:tc>
        <w:tc>
          <w:tcPr>
            <w:tcW w:type="dxa" w:w="3312"/>
          </w:tcPr>
          <w:p>
            <w:r>
              <w:rPr>
                <w:sz w:val="17"/>
              </w:rPr>
              <w:t>SUPPORTED / IMPLEMENTATION GAP</w:t>
            </w:r>
          </w:p>
        </w:tc>
        <w:tc>
          <w:tcPr>
            <w:tcW w:type="dxa" w:w="3312"/>
          </w:tcPr>
          <w:p>
            <w:r>
              <w:rPr>
                <w:sz w:val="17"/>
              </w:rPr>
              <w:t>Transfer literature broadly supports resource/practice/reinforcement conditions; specific contact-center implementation patterns may warrant employer-data analysis.</w:t>
            </w:r>
          </w:p>
        </w:tc>
      </w:tr>
      <w:tr>
        <w:tc>
          <w:tcPr>
            <w:tcW w:type="dxa" w:w="3312"/>
          </w:tcPr>
          <w:p>
            <w:r>
              <w:rPr>
                <w:sz w:val="17"/>
              </w:rPr>
              <w:t>H7 — Change Type Matters</w:t>
            </w:r>
          </w:p>
        </w:tc>
        <w:tc>
          <w:tcPr>
            <w:tcW w:type="dxa" w:w="3312"/>
          </w:tcPr>
          <w:p>
            <w:r>
              <w:rPr>
                <w:sz w:val="17"/>
              </w:rPr>
              <w:t>EVIDENCE GAP</w:t>
            </w:r>
          </w:p>
        </w:tc>
        <w:tc>
          <w:tcPr>
            <w:tcW w:type="dxa" w:w="3312"/>
          </w:tcPr>
          <w:p>
            <w:r>
              <w:rPr>
                <w:sz w:val="17"/>
              </w:rPr>
              <w:t>Comparative effects across technology, process, policy, staffing, metrics and restructuring changes require targeted evidence.</w:t>
            </w:r>
          </w:p>
        </w:tc>
      </w:tr>
      <w:tr>
        <w:tc>
          <w:tcPr>
            <w:tcW w:type="dxa" w:w="3312"/>
          </w:tcPr>
          <w:p>
            <w:r>
              <w:rPr>
                <w:sz w:val="17"/>
              </w:rPr>
              <w:t>H8 — Structural Readiness</w:t>
            </w:r>
          </w:p>
        </w:tc>
        <w:tc>
          <w:tcPr>
            <w:tcW w:type="dxa" w:w="3312"/>
          </w:tcPr>
          <w:p>
            <w:r>
              <w:rPr>
                <w:sz w:val="17"/>
              </w:rPr>
              <w:t>ESTABLISHED FOUNDATION</w:t>
            </w:r>
          </w:p>
        </w:tc>
        <w:tc>
          <w:tcPr>
            <w:tcW w:type="dxa" w:w="3312"/>
          </w:tcPr>
          <w:p>
            <w:r>
              <w:rPr>
                <w:sz w:val="17"/>
              </w:rPr>
              <w:t>Organizational-readiness theory supports shared commitment/efficacy and resource/task appraisals. Do not re-prove the general construct.</w:t>
            </w:r>
          </w:p>
        </w:tc>
      </w:tr>
      <w:tr>
        <w:tc>
          <w:tcPr>
            <w:tcW w:type="dxa" w:w="3312"/>
          </w:tcPr>
          <w:p>
            <w:r>
              <w:rPr>
                <w:sz w:val="17"/>
              </w:rPr>
              <w:t>H9 — Change Saturation</w:t>
            </w:r>
          </w:p>
        </w:tc>
        <w:tc>
          <w:tcPr>
            <w:tcW w:type="dxa" w:w="3312"/>
          </w:tcPr>
          <w:p>
            <w:r>
              <w:rPr>
                <w:sz w:val="17"/>
              </w:rPr>
              <w:t>SUPPORTED BUT THRESHOLD UNKNOWN</w:t>
            </w:r>
          </w:p>
        </w:tc>
        <w:tc>
          <w:tcPr>
            <w:tcW w:type="dxa" w:w="3312"/>
          </w:tcPr>
          <w:p>
            <w:r>
              <w:rPr>
                <w:sz w:val="17"/>
              </w:rPr>
              <w:t>Fatigue and multiple-change evidence supports the concept; the existence and location of actionable thresholds remain unresolved.</w:t>
            </w:r>
          </w:p>
        </w:tc>
      </w:tr>
      <w:tr>
        <w:tc>
          <w:tcPr>
            <w:tcW w:type="dxa" w:w="3312"/>
          </w:tcPr>
          <w:p>
            <w:r>
              <w:rPr>
                <w:sz w:val="17"/>
              </w:rPr>
              <w:t>H10 — Readiness–Capacity Distinction</w:t>
            </w:r>
          </w:p>
        </w:tc>
        <w:tc>
          <w:tcPr>
            <w:tcW w:type="dxa" w:w="3312"/>
          </w:tcPr>
          <w:p>
            <w:r>
              <w:rPr>
                <w:sz w:val="17"/>
              </w:rPr>
              <w:t>RESOLVECX-SPECIFIC GAP</w:t>
            </w:r>
          </w:p>
        </w:tc>
        <w:tc>
          <w:tcPr>
            <w:tcW w:type="dxa" w:w="3312"/>
          </w:tcPr>
          <w:p>
            <w:r>
              <w:rPr>
                <w:sz w:val="17"/>
              </w:rPr>
              <w:t>ResolveCX must demonstrate that capacity adds conceptual and predictive value beyond established readiness, job-demand/resource and implementation-quality constructs.</w:t>
            </w:r>
          </w:p>
        </w:tc>
      </w:tr>
    </w:tbl>
    <w:p>
      <w:pPr>
        <w:pStyle w:val="Heading2"/>
      </w:pPr>
      <w:r>
        <w:t>Primary Data Trigger Rules</w:t>
      </w:r>
    </w:p>
    <w:p>
      <w:pPr>
        <w:pStyle w:val="ListBullet"/>
      </w:pPr>
      <w:r>
        <w:t>Do not collect interviews or surveys simply because they were listed in an earlier protocol version.</w:t>
      </w:r>
    </w:p>
    <w:p>
      <w:pPr>
        <w:pStyle w:val="ListBullet"/>
      </w:pPr>
      <w:r>
        <w:t>Before new data collection, document the exact unresolved question and why external evidence, public datasets, existing employer records, or validated measures cannot answer it sufficiently.</w:t>
      </w:r>
    </w:p>
    <w:p>
      <w:pPr>
        <w:pStyle w:val="ListBullet"/>
      </w:pPr>
      <w:r>
        <w:t>Prefer secondary analysis and de-identified employer operational data over self-report when they answer the question more directly.</w:t>
      </w:r>
    </w:p>
    <w:p>
      <w:pPr>
        <w:pStyle w:val="ListBullet"/>
      </w:pPr>
      <w:r>
        <w:t>Use interviews primarily for mechanisms, lived context, language, unexpected explanations, implementation detail, and construct discovery—not to re-prove mature general relationships.</w:t>
      </w:r>
    </w:p>
    <w:p>
      <w:pPr>
        <w:pStyle w:val="ListBullet"/>
      </w:pPr>
      <w:r>
        <w:t>Use surveys when a defined construct, prevalence estimate, comparison, moderator, or prediction cannot be answered adequately from existing evidence.</w:t>
      </w:r>
    </w:p>
    <w:p>
      <w:pPr>
        <w:pStyle w:val="ListBullet"/>
      </w:pPr>
      <w:r>
        <w:t>Use longitudinal data when temporal ordering or prediction matters. Use intervention/comparison designs when the claim concerns ResolveCX effectiveness.</w:t>
      </w:r>
    </w:p>
    <w:p>
      <w:pPr>
        <w:pStyle w:val="ListBullet"/>
      </w:pPr>
      <w:r>
        <w:t>Stop or narrow data collection when new evidence makes a question immaterial, redundant, or already sufficiently answered.</w:t>
      </w:r>
    </w:p>
    <w:p>
      <w:pPr>
        <w:pStyle w:val="ListBullet"/>
      </w:pPr>
      <w:r>
        <w:t>Preserve negative, null, adverse, and contradictory evidence in the same registry as supportive evidence.</w:t>
      </w:r>
    </w:p>
    <w:p>
      <w:pPr>
        <w:pStyle w:val="Heading2"/>
      </w:pPr>
      <w:r>
        <w:t>ResolveCX Proof Boundary</w:t>
      </w:r>
    </w:p>
    <w:p>
      <w:r>
        <w:t>External research may establish that a problem, construct, mechanism, or relationship exists. It cannot by itself establish that a ResolveCX intervention causes better outcomes. Claims that ResolveCX preparation improves proficiency, adaptation, retention, customer outcomes, career progression, or economic value require direct evaluation of the ResolveCX intervention using a design strong enough for the claim.</w:t>
      </w:r>
    </w:p>
    <w:p>
      <w:pPr>
        <w:pStyle w:val="Heading2"/>
      </w:pPr>
      <w:r>
        <w:t>Decision Record Required Before Any New Survey or Interview</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Field</w:t>
            </w:r>
          </w:p>
        </w:tc>
        <w:tc>
          <w:tcPr>
            <w:tcW w:type="dxa" w:w="4968"/>
            <w:shd w:fill="0B3A53"/>
          </w:tcPr>
          <w:p>
            <w:r>
              <w:rPr>
                <w:b/>
                <w:color w:val="FFFFFF"/>
                <w:sz w:val="18"/>
              </w:rPr>
              <w:t>Required entry</w:t>
            </w:r>
          </w:p>
        </w:tc>
      </w:tr>
      <w:tr>
        <w:tc>
          <w:tcPr>
            <w:tcW w:type="dxa" w:w="4968"/>
          </w:tcPr>
          <w:p>
            <w:r>
              <w:rPr>
                <w:sz w:val="17"/>
              </w:rPr>
              <w:t>Unresolved question</w:t>
            </w:r>
          </w:p>
        </w:tc>
        <w:tc>
          <w:tcPr>
            <w:tcW w:type="dxa" w:w="4968"/>
          </w:tcPr>
          <w:p>
            <w:r>
              <w:rPr>
                <w:sz w:val="17"/>
              </w:rPr>
              <w:t>Exactly what remains unknown?</w:t>
            </w:r>
          </w:p>
        </w:tc>
      </w:tr>
      <w:tr>
        <w:tc>
          <w:tcPr>
            <w:tcW w:type="dxa" w:w="4968"/>
          </w:tcPr>
          <w:p>
            <w:r>
              <w:rPr>
                <w:sz w:val="17"/>
              </w:rPr>
              <w:t>Existing evidence reviewed</w:t>
            </w:r>
          </w:p>
        </w:tc>
        <w:tc>
          <w:tcPr>
            <w:tcW w:type="dxa" w:w="4968"/>
          </w:tcPr>
          <w:p>
            <w:r>
              <w:rPr>
                <w:sz w:val="17"/>
              </w:rPr>
              <w:t>What high-quality evidence already addresses it?</w:t>
            </w:r>
          </w:p>
        </w:tc>
      </w:tr>
      <w:tr>
        <w:tc>
          <w:tcPr>
            <w:tcW w:type="dxa" w:w="4968"/>
          </w:tcPr>
          <w:p>
            <w:r>
              <w:rPr>
                <w:sz w:val="17"/>
              </w:rPr>
              <w:t>Why insufficient</w:t>
            </w:r>
          </w:p>
        </w:tc>
        <w:tc>
          <w:tcPr>
            <w:tcW w:type="dxa" w:w="4968"/>
          </w:tcPr>
          <w:p>
            <w:r>
              <w:rPr>
                <w:sz w:val="17"/>
              </w:rPr>
              <w:t>Population, context, construct, recency, outcome, method, or causal limitation.</w:t>
            </w:r>
          </w:p>
        </w:tc>
      </w:tr>
      <w:tr>
        <w:tc>
          <w:tcPr>
            <w:tcW w:type="dxa" w:w="4968"/>
          </w:tcPr>
          <w:p>
            <w:r>
              <w:rPr>
                <w:sz w:val="17"/>
              </w:rPr>
              <w:t>Best next evidence source</w:t>
            </w:r>
          </w:p>
        </w:tc>
        <w:tc>
          <w:tcPr>
            <w:tcW w:type="dxa" w:w="4968"/>
          </w:tcPr>
          <w:p>
            <w:r>
              <w:rPr>
                <w:sz w:val="17"/>
              </w:rPr>
              <w:t>External dataset, employer data, interview, survey, longitudinal panel, intervention, or no further collection.</w:t>
            </w:r>
          </w:p>
        </w:tc>
      </w:tr>
      <w:tr>
        <w:tc>
          <w:tcPr>
            <w:tcW w:type="dxa" w:w="4968"/>
          </w:tcPr>
          <w:p>
            <w:r>
              <w:rPr>
                <w:sz w:val="17"/>
              </w:rPr>
              <w:t>Decision value</w:t>
            </w:r>
          </w:p>
        </w:tc>
        <w:tc>
          <w:tcPr>
            <w:tcW w:type="dxa" w:w="4968"/>
          </w:tcPr>
          <w:p>
            <w:r>
              <w:rPr>
                <w:sz w:val="17"/>
              </w:rPr>
              <w:t>What decision will this evidence change for ResolveCX?</w:t>
            </w:r>
          </w:p>
        </w:tc>
      </w:tr>
      <w:tr>
        <w:tc>
          <w:tcPr>
            <w:tcW w:type="dxa" w:w="4968"/>
          </w:tcPr>
          <w:p>
            <w:r>
              <w:rPr>
                <w:sz w:val="17"/>
              </w:rPr>
              <w:t>Stop rule</w:t>
            </w:r>
          </w:p>
        </w:tc>
        <w:tc>
          <w:tcPr>
            <w:tcW w:type="dxa" w:w="4968"/>
          </w:tcPr>
          <w:p>
            <w:r>
              <w:rPr>
                <w:sz w:val="17"/>
              </w:rPr>
              <w:t>What result would make further collection unnecessary?</w:t>
            </w:r>
          </w:p>
        </w:tc>
      </w:tr>
    </w:tbl>
    <w:p>
      <w:pPr>
        <w:pStyle w:val="Heading2"/>
      </w:pPr>
      <w:r>
        <w:t>Publication Language</w:t>
      </w:r>
    </w:p>
    <w:p>
      <w:r>
        <w:t>This study may be introduced publicly as Ongoing Research. Public materials must distinguish: (1) what external evidence already establishes; (2) what ResolveCX currently hypothesizes; (3) what remains unresolved; (4) what original data, if any, are being collected; and (5) the current finding status. Preliminary observations must not be presented as representative or validated findings.</w:t>
      </w:r>
    </w:p>
    <w:p>
      <w:pPr>
        <w:pStyle w:val="Heading2"/>
      </w:pPr>
      <w:r>
        <w:t>Research Quality and Release Standard</w:t>
      </w:r>
    </w:p>
    <w:p>
      <w:r>
        <w:t>Evidence sufficiency—not a predetermined number of interviews, survey responses, or citations—governs research decisions. Source-count targets remain evidence-development milestones, not publication prerequisites. Quality, independence, design strength, construct relevance, population fit, contradictory evidence, and decision usefulness take precedence over volume.</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Research Protocol v1.2  •  Ongoing Research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