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#006: The Career Pathway Study</w:t>
      </w:r>
    </w:p>
    <w:p>
      <w:pPr>
        <w:jc w:val="center"/>
      </w:pPr>
      <w:r>
        <w:rPr>
          <w:i/>
          <w:sz w:val="26"/>
        </w:rPr>
        <w:t>Can frontline contact-center work become a credible pathway to economic mobility rather than a job people simply pass through?</w:t>
      </w:r>
    </w:p>
    <w:p>
      <w:pPr>
        <w:jc w:val="center"/>
      </w:pPr>
      <w:r>
        <w:rPr>
          <w:b/>
          <w:color w:val="B77311"/>
          <w:sz w:val="22"/>
        </w:rPr>
        <w:t>Research Status: Ongoing</w:t>
      </w:r>
    </w:p>
    <w:p>
      <w:r>
        <w:t>Study #006 examines whether visible, attainable, employer-backed career pathways change how frontline contact-center work functions for employees, employers, workforce-development organizations, and community colleges. The study does not assume that career-pathway visibility improves retention, that every employee wants advancement, or that short-term credentials produce meaningful economic mobility.</w:t>
      </w:r>
    </w:p>
    <w:p>
      <w:pPr>
        <w:pStyle w:val="Heading1"/>
      </w:pPr>
      <w:r>
        <w:t>1. Research Integrity Statement</w:t>
      </w:r>
    </w:p>
    <w:p>
      <w:r>
        <w:t>ResolveCX research is designed to discover what is true, not to manufacture evidence for what we hope is true. Study #006 will distinguish career opportunity from career marketing, advancement from lateral mobility, retention from healthy external mobility, and credential completion from actual economic value. Findings that weaken the ResolveCX pathway thesis—including evidence that pathways do not improve outcomes, that advancement is inaccessible, that credentials have weak labor-market value, or that employers do not create real opportunity—will be reported transparently.</w:t>
      </w:r>
    </w:p>
    <w:p>
      <w:pPr>
        <w:pStyle w:val="Heading1"/>
      </w:pPr>
      <w:r>
        <w:t>2. Central Research Question</w:t>
      </w:r>
    </w:p>
    <w:p>
      <w:r>
        <w:rPr>
          <w:b/>
        </w:rPr>
        <w:t>Among frontline contact-center employees and prospective entrants, do credible and accessible career pathways—supported by transparent role maps, skill development, recognized credentials, internal mobility, and employer opportunity—predict stronger career agency, retention, progression, earnings, employability, and long-term economic mobility?</w:t>
      </w:r>
    </w:p>
    <w:p>
      <w:r>
        <w:t>Secondary questions ask which pathway components matter, whether pathways benefit employees who remain in contact-center work and those who transition elsewhere, which employer commitments are necessary for pathways to be credible, and whether community-college/workforce pathways produce value beyond ordinary entry-level hiring and on-the-job training.</w:t>
      </w:r>
    </w:p>
    <w:p>
      <w:pPr>
        <w:pStyle w:val="Heading1"/>
      </w:pPr>
      <w:r>
        <w:t>3. Position in the ResolveCX Research Program</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Study</w:t>
            </w:r>
          </w:p>
        </w:tc>
        <w:tc>
          <w:tcPr>
            <w:tcW w:type="dxa" w:w="3360"/>
            <w:shd w:fill="0B3A53"/>
            <w:vAlign w:val="center"/>
            <w:tcMar>
              <w:top w:w="70" w:type="dxa"/>
              <w:start w:w="80" w:type="dxa"/>
              <w:bottom w:w="70" w:type="dxa"/>
              <w:end w:w="80" w:type="dxa"/>
            </w:tcMar>
          </w:tcPr>
          <w:p>
            <w:r>
              <w:rPr>
                <w:b/>
                <w:color w:val="FFFFFF"/>
                <w:sz w:val="16"/>
              </w:rPr>
              <w:t>Primary question</w:t>
            </w:r>
          </w:p>
        </w:tc>
        <w:tc>
          <w:tcPr>
            <w:tcW w:type="dxa" w:w="3360"/>
            <w:shd w:fill="0B3A53"/>
            <w:vAlign w:val="center"/>
            <w:tcMar>
              <w:top w:w="70" w:type="dxa"/>
              <w:start w:w="80" w:type="dxa"/>
              <w:bottom w:w="70" w:type="dxa"/>
              <w:end w:w="80" w:type="dxa"/>
            </w:tcMar>
          </w:tcPr>
          <w:p>
            <w:r>
              <w:rPr>
                <w:b/>
                <w:color w:val="FFFFFF"/>
                <w:sz w:val="16"/>
              </w:rPr>
              <w:t>Portfolio role</w:t>
            </w:r>
          </w:p>
        </w:tc>
      </w:tr>
      <w:tr>
        <w:tc>
          <w:tcPr>
            <w:tcW w:type="dxa" w:w="3360"/>
            <w:vAlign w:val="top"/>
            <w:tcMar>
              <w:top w:w="70" w:type="dxa"/>
              <w:start w:w="80" w:type="dxa"/>
              <w:bottom w:w="70" w:type="dxa"/>
              <w:end w:w="80" w:type="dxa"/>
            </w:tcMar>
          </w:tcPr>
          <w:p>
            <w:pPr>
              <w:spacing w:after="0"/>
            </w:pPr>
            <w:r>
              <w:rPr>
                <w:sz w:val="16"/>
              </w:rPr>
              <w:t>#001 — New-Hire Survival</w:t>
            </w:r>
          </w:p>
        </w:tc>
        <w:tc>
          <w:tcPr>
            <w:tcW w:type="dxa" w:w="3360"/>
            <w:vAlign w:val="top"/>
            <w:tcMar>
              <w:top w:w="70" w:type="dxa"/>
              <w:start w:w="80" w:type="dxa"/>
              <w:bottom w:w="70" w:type="dxa"/>
              <w:end w:w="80" w:type="dxa"/>
            </w:tcMar>
          </w:tcPr>
          <w:p>
            <w:pPr>
              <w:spacing w:after="0"/>
            </w:pPr>
            <w:r>
              <w:rPr>
                <w:sz w:val="16"/>
              </w:rPr>
              <w:t>Who succeeds, struggles, disengages, or exits?</w:t>
            </w:r>
          </w:p>
        </w:tc>
        <w:tc>
          <w:tcPr>
            <w:tcW w:type="dxa" w:w="3360"/>
            <w:vAlign w:val="top"/>
            <w:tcMar>
              <w:top w:w="70" w:type="dxa"/>
              <w:start w:w="80" w:type="dxa"/>
              <w:bottom w:w="70" w:type="dxa"/>
              <w:end w:w="80" w:type="dxa"/>
            </w:tcMar>
          </w:tcPr>
          <w:p>
            <w:pPr>
              <w:spacing w:after="0"/>
            </w:pPr>
            <w:r>
              <w:rPr>
                <w:sz w:val="16"/>
              </w:rPr>
              <w:t>Transition and survival outcomes</w:t>
            </w:r>
          </w:p>
        </w:tc>
      </w:tr>
      <w:tr>
        <w:tc>
          <w:tcPr>
            <w:tcW w:type="dxa" w:w="3360"/>
            <w:vAlign w:val="top"/>
            <w:tcMar>
              <w:top w:w="70" w:type="dxa"/>
              <w:start w:w="80" w:type="dxa"/>
              <w:bottom w:w="70" w:type="dxa"/>
              <w:end w:w="80" w:type="dxa"/>
            </w:tcMar>
          </w:tcPr>
          <w:p>
            <w:pPr>
              <w:spacing w:after="0"/>
            </w:pPr>
            <w:r>
              <w:rPr>
                <w:sz w:val="16"/>
              </w:rPr>
              <w:t>#002 — Job Reality Gap</w:t>
            </w:r>
          </w:p>
        </w:tc>
        <w:tc>
          <w:tcPr>
            <w:tcW w:type="dxa" w:w="3360"/>
            <w:vAlign w:val="top"/>
            <w:tcMar>
              <w:top w:w="70" w:type="dxa"/>
              <w:start w:w="80" w:type="dxa"/>
              <w:bottom w:w="70" w:type="dxa"/>
              <w:end w:w="80" w:type="dxa"/>
            </w:tcMar>
          </w:tcPr>
          <w:p>
            <w:pPr>
              <w:spacing w:after="0"/>
            </w:pPr>
            <w:r>
              <w:rPr>
                <w:sz w:val="16"/>
              </w:rPr>
              <w:t>How does experienced work differ from expected work?</w:t>
            </w:r>
          </w:p>
        </w:tc>
        <w:tc>
          <w:tcPr>
            <w:tcW w:type="dxa" w:w="3360"/>
            <w:vAlign w:val="top"/>
            <w:tcMar>
              <w:top w:w="70" w:type="dxa"/>
              <w:start w:w="80" w:type="dxa"/>
              <w:bottom w:w="70" w:type="dxa"/>
              <w:end w:w="80" w:type="dxa"/>
            </w:tcMar>
          </w:tcPr>
          <w:p>
            <w:pPr>
              <w:spacing w:after="0"/>
            </w:pPr>
            <w:r>
              <w:rPr>
                <w:sz w:val="16"/>
              </w:rPr>
              <w:t>Expectation alignment</w:t>
            </w:r>
          </w:p>
        </w:tc>
      </w:tr>
      <w:tr>
        <w:tc>
          <w:tcPr>
            <w:tcW w:type="dxa" w:w="3360"/>
            <w:vAlign w:val="top"/>
            <w:tcMar>
              <w:top w:w="70" w:type="dxa"/>
              <w:start w:w="80" w:type="dxa"/>
              <w:bottom w:w="70" w:type="dxa"/>
              <w:end w:w="80" w:type="dxa"/>
            </w:tcMar>
          </w:tcPr>
          <w:p>
            <w:pPr>
              <w:spacing w:after="0"/>
            </w:pPr>
            <w:r>
              <w:rPr>
                <w:sz w:val="16"/>
              </w:rPr>
              <w:t>#003 — KPI &amp; Business Literacy</w:t>
            </w:r>
          </w:p>
        </w:tc>
        <w:tc>
          <w:tcPr>
            <w:tcW w:type="dxa" w:w="3360"/>
            <w:vAlign w:val="top"/>
            <w:tcMar>
              <w:top w:w="70" w:type="dxa"/>
              <w:start w:w="80" w:type="dxa"/>
              <w:bottom w:w="70" w:type="dxa"/>
              <w:end w:w="80" w:type="dxa"/>
            </w:tcMar>
          </w:tcPr>
          <w:p>
            <w:pPr>
              <w:spacing w:after="0"/>
            </w:pPr>
            <w:r>
              <w:rPr>
                <w:sz w:val="16"/>
              </w:rPr>
              <w:t>What operating-system understanding matters?</w:t>
            </w:r>
          </w:p>
        </w:tc>
        <w:tc>
          <w:tcPr>
            <w:tcW w:type="dxa" w:w="3360"/>
            <w:vAlign w:val="top"/>
            <w:tcMar>
              <w:top w:w="70" w:type="dxa"/>
              <w:start w:w="80" w:type="dxa"/>
              <w:bottom w:w="70" w:type="dxa"/>
              <w:end w:w="80" w:type="dxa"/>
            </w:tcMar>
          </w:tcPr>
          <w:p>
            <w:pPr>
              <w:spacing w:after="0"/>
            </w:pPr>
            <w:r>
              <w:rPr>
                <w:sz w:val="16"/>
              </w:rPr>
              <w:t>Role/operational/business understanding</w:t>
            </w:r>
          </w:p>
        </w:tc>
      </w:tr>
      <w:tr>
        <w:tc>
          <w:tcPr>
            <w:tcW w:type="dxa" w:w="3360"/>
            <w:vAlign w:val="top"/>
            <w:tcMar>
              <w:top w:w="70" w:type="dxa"/>
              <w:start w:w="80" w:type="dxa"/>
              <w:bottom w:w="70" w:type="dxa"/>
              <w:end w:w="80" w:type="dxa"/>
            </w:tcMar>
          </w:tcPr>
          <w:p>
            <w:pPr>
              <w:spacing w:after="0"/>
            </w:pPr>
            <w:r>
              <w:rPr>
                <w:sz w:val="16"/>
              </w:rPr>
              <w:t>#004 — Supervisor Effect</w:t>
            </w:r>
          </w:p>
        </w:tc>
        <w:tc>
          <w:tcPr>
            <w:tcW w:type="dxa" w:w="3360"/>
            <w:vAlign w:val="top"/>
            <w:tcMar>
              <w:top w:w="70" w:type="dxa"/>
              <w:start w:w="80" w:type="dxa"/>
              <w:bottom w:w="70" w:type="dxa"/>
              <w:end w:w="80" w:type="dxa"/>
            </w:tcMar>
          </w:tcPr>
          <w:p>
            <w:pPr>
              <w:spacing w:after="0"/>
            </w:pPr>
            <w:r>
              <w:rPr>
                <w:sz w:val="16"/>
              </w:rPr>
              <w:t>How much difference does the immediate leader make?</w:t>
            </w:r>
          </w:p>
        </w:tc>
        <w:tc>
          <w:tcPr>
            <w:tcW w:type="dxa" w:w="3360"/>
            <w:vAlign w:val="top"/>
            <w:tcMar>
              <w:top w:w="70" w:type="dxa"/>
              <w:start w:w="80" w:type="dxa"/>
              <w:bottom w:w="70" w:type="dxa"/>
              <w:end w:w="80" w:type="dxa"/>
            </w:tcMar>
          </w:tcPr>
          <w:p>
            <w:pPr>
              <w:spacing w:after="0"/>
            </w:pPr>
            <w:r>
              <w:rPr>
                <w:sz w:val="16"/>
              </w:rPr>
              <w:t>Leadership environment</w:t>
            </w:r>
          </w:p>
        </w:tc>
      </w:tr>
      <w:tr>
        <w:tc>
          <w:tcPr>
            <w:tcW w:type="dxa" w:w="3360"/>
            <w:vAlign w:val="top"/>
            <w:tcMar>
              <w:top w:w="70" w:type="dxa"/>
              <w:start w:w="80" w:type="dxa"/>
              <w:bottom w:w="70" w:type="dxa"/>
              <w:end w:w="80" w:type="dxa"/>
            </w:tcMar>
          </w:tcPr>
          <w:p>
            <w:pPr>
              <w:spacing w:after="0"/>
            </w:pPr>
            <w:r>
              <w:rPr>
                <w:sz w:val="16"/>
              </w:rPr>
              <w:t>#005 — Change Readiness</w:t>
            </w:r>
          </w:p>
        </w:tc>
        <w:tc>
          <w:tcPr>
            <w:tcW w:type="dxa" w:w="3360"/>
            <w:vAlign w:val="top"/>
            <w:tcMar>
              <w:top w:w="70" w:type="dxa"/>
              <w:start w:w="80" w:type="dxa"/>
              <w:bottom w:w="70" w:type="dxa"/>
              <w:end w:w="80" w:type="dxa"/>
            </w:tcMar>
          </w:tcPr>
          <w:p>
            <w:pPr>
              <w:spacing w:after="0"/>
            </w:pPr>
            <w:r>
              <w:rPr>
                <w:sz w:val="16"/>
              </w:rPr>
              <w:t>What enables adaptation during repeated change?</w:t>
            </w:r>
          </w:p>
        </w:tc>
        <w:tc>
          <w:tcPr>
            <w:tcW w:type="dxa" w:w="3360"/>
            <w:vAlign w:val="top"/>
            <w:tcMar>
              <w:top w:w="70" w:type="dxa"/>
              <w:start w:w="80" w:type="dxa"/>
              <w:bottom w:w="70" w:type="dxa"/>
              <w:end w:w="80" w:type="dxa"/>
            </w:tcMar>
          </w:tcPr>
          <w:p>
            <w:pPr>
              <w:spacing w:after="0"/>
            </w:pPr>
            <w:r>
              <w:rPr>
                <w:sz w:val="16"/>
              </w:rPr>
              <w:t>Adaptation capacity</w:t>
            </w:r>
          </w:p>
        </w:tc>
      </w:tr>
      <w:tr>
        <w:tc>
          <w:tcPr>
            <w:tcW w:type="dxa" w:w="3360"/>
            <w:vAlign w:val="top"/>
            <w:tcMar>
              <w:top w:w="70" w:type="dxa"/>
              <w:start w:w="80" w:type="dxa"/>
              <w:bottom w:w="70" w:type="dxa"/>
              <w:end w:w="80" w:type="dxa"/>
            </w:tcMar>
          </w:tcPr>
          <w:p>
            <w:pPr>
              <w:spacing w:after="0"/>
            </w:pPr>
            <w:r>
              <w:rPr>
                <w:sz w:val="16"/>
              </w:rPr>
              <w:t>#006 — Career Pathway</w:t>
            </w:r>
          </w:p>
        </w:tc>
        <w:tc>
          <w:tcPr>
            <w:tcW w:type="dxa" w:w="3360"/>
            <w:vAlign w:val="top"/>
            <w:tcMar>
              <w:top w:w="70" w:type="dxa"/>
              <w:start w:w="80" w:type="dxa"/>
              <w:bottom w:w="70" w:type="dxa"/>
              <w:end w:w="80" w:type="dxa"/>
            </w:tcMar>
          </w:tcPr>
          <w:p>
            <w:pPr>
              <w:spacing w:after="0"/>
            </w:pPr>
            <w:r>
              <w:rPr>
                <w:sz w:val="16"/>
              </w:rPr>
              <w:t>Does frontline work create credible economic and career mobility?</w:t>
            </w:r>
          </w:p>
        </w:tc>
        <w:tc>
          <w:tcPr>
            <w:tcW w:type="dxa" w:w="3360"/>
            <w:vAlign w:val="top"/>
            <w:tcMar>
              <w:top w:w="70" w:type="dxa"/>
              <w:start w:w="80" w:type="dxa"/>
              <w:bottom w:w="70" w:type="dxa"/>
              <w:end w:w="80" w:type="dxa"/>
            </w:tcMar>
          </w:tcPr>
          <w:p>
            <w:pPr>
              <w:spacing w:after="0"/>
            </w:pPr>
            <w:r>
              <w:rPr>
                <w:sz w:val="16"/>
              </w:rPr>
              <w:t>Progression, mobility, and long-term value</w:t>
            </w:r>
          </w:p>
        </w:tc>
      </w:tr>
    </w:tbl>
    <w:p>
      <w:pPr>
        <w:pStyle w:val="Heading1"/>
      </w:pPr>
      <w:r>
        <w:t>4. What Counts as a Career Pathway?</w:t>
      </w:r>
    </w:p>
    <w:p>
      <w:r>
        <w:t>A career pathway is not a poster showing possible job titles. For Study #006, a pathway must contain observable opportunity and a plausible mechanism for progression.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shd w:fill="0B3A53"/>
            <w:vAlign w:val="center"/>
            <w:tcMar>
              <w:top w:w="70" w:type="dxa"/>
              <w:start w:w="80" w:type="dxa"/>
              <w:bottom w:w="70" w:type="dxa"/>
              <w:end w:w="80" w:type="dxa"/>
            </w:tcMar>
          </w:tcPr>
          <w:p>
            <w:r>
              <w:rPr>
                <w:b/>
                <w:color w:val="FFFFFF"/>
                <w:sz w:val="16"/>
              </w:rPr>
              <w:t>Pathway element</w:t>
            </w:r>
          </w:p>
        </w:tc>
        <w:tc>
          <w:tcPr>
            <w:tcW w:type="dxa" w:w="5040"/>
            <w:shd w:fill="0B3A53"/>
            <w:vAlign w:val="center"/>
            <w:tcMar>
              <w:top w:w="70" w:type="dxa"/>
              <w:start w:w="80" w:type="dxa"/>
              <w:bottom w:w="70" w:type="dxa"/>
              <w:end w:w="80" w:type="dxa"/>
            </w:tcMar>
          </w:tcPr>
          <w:p>
            <w:r>
              <w:rPr>
                <w:b/>
                <w:color w:val="FFFFFF"/>
                <w:sz w:val="16"/>
              </w:rPr>
              <w:t>Evidence question</w:t>
            </w:r>
          </w:p>
        </w:tc>
      </w:tr>
      <w:tr>
        <w:tc>
          <w:tcPr>
            <w:tcW w:type="dxa" w:w="5040"/>
            <w:vAlign w:val="top"/>
            <w:tcMar>
              <w:top w:w="70" w:type="dxa"/>
              <w:start w:w="80" w:type="dxa"/>
              <w:bottom w:w="70" w:type="dxa"/>
              <w:end w:w="80" w:type="dxa"/>
            </w:tcMar>
          </w:tcPr>
          <w:p>
            <w:pPr>
              <w:spacing w:after="0"/>
            </w:pPr>
            <w:r>
              <w:rPr>
                <w:sz w:val="16"/>
              </w:rPr>
              <w:t>Role visibility</w:t>
            </w:r>
          </w:p>
        </w:tc>
        <w:tc>
          <w:tcPr>
            <w:tcW w:type="dxa" w:w="5040"/>
            <w:vAlign w:val="top"/>
            <w:tcMar>
              <w:top w:w="70" w:type="dxa"/>
              <w:start w:w="80" w:type="dxa"/>
              <w:bottom w:w="70" w:type="dxa"/>
              <w:end w:w="80" w:type="dxa"/>
            </w:tcMar>
          </w:tcPr>
          <w:p>
            <w:pPr>
              <w:spacing w:after="0"/>
            </w:pPr>
            <w:r>
              <w:rPr>
                <w:sz w:val="16"/>
              </w:rPr>
              <w:t>Can employees see realistic next-step roles and requirements?</w:t>
            </w:r>
          </w:p>
        </w:tc>
      </w:tr>
      <w:tr>
        <w:tc>
          <w:tcPr>
            <w:tcW w:type="dxa" w:w="5040"/>
            <w:vAlign w:val="top"/>
            <w:tcMar>
              <w:top w:w="70" w:type="dxa"/>
              <w:start w:w="80" w:type="dxa"/>
              <w:bottom w:w="70" w:type="dxa"/>
              <w:end w:w="80" w:type="dxa"/>
            </w:tcMar>
          </w:tcPr>
          <w:p>
            <w:pPr>
              <w:spacing w:after="0"/>
            </w:pPr>
            <w:r>
              <w:rPr>
                <w:sz w:val="16"/>
              </w:rPr>
              <w:t>Skill transparency</w:t>
            </w:r>
          </w:p>
        </w:tc>
        <w:tc>
          <w:tcPr>
            <w:tcW w:type="dxa" w:w="5040"/>
            <w:vAlign w:val="top"/>
            <w:tcMar>
              <w:top w:w="70" w:type="dxa"/>
              <w:start w:w="80" w:type="dxa"/>
              <w:bottom w:w="70" w:type="dxa"/>
              <w:end w:w="80" w:type="dxa"/>
            </w:tcMar>
          </w:tcPr>
          <w:p>
            <w:pPr>
              <w:spacing w:after="0"/>
            </w:pPr>
            <w:r>
              <w:rPr>
                <w:sz w:val="16"/>
              </w:rPr>
              <w:t>Are the skills needed for progression explicit and teachable?</w:t>
            </w:r>
          </w:p>
        </w:tc>
      </w:tr>
      <w:tr>
        <w:tc>
          <w:tcPr>
            <w:tcW w:type="dxa" w:w="5040"/>
            <w:vAlign w:val="top"/>
            <w:tcMar>
              <w:top w:w="70" w:type="dxa"/>
              <w:start w:w="80" w:type="dxa"/>
              <w:bottom w:w="70" w:type="dxa"/>
              <w:end w:w="80" w:type="dxa"/>
            </w:tcMar>
          </w:tcPr>
          <w:p>
            <w:pPr>
              <w:spacing w:after="0"/>
            </w:pPr>
            <w:r>
              <w:rPr>
                <w:sz w:val="16"/>
              </w:rPr>
              <w:t>Attainability</w:t>
            </w:r>
          </w:p>
        </w:tc>
        <w:tc>
          <w:tcPr>
            <w:tcW w:type="dxa" w:w="5040"/>
            <w:vAlign w:val="top"/>
            <w:tcMar>
              <w:top w:w="70" w:type="dxa"/>
              <w:start w:w="80" w:type="dxa"/>
              <w:bottom w:w="70" w:type="dxa"/>
              <w:end w:w="80" w:type="dxa"/>
            </w:tcMar>
          </w:tcPr>
          <w:p>
            <w:pPr>
              <w:spacing w:after="0"/>
            </w:pPr>
            <w:r>
              <w:rPr>
                <w:sz w:val="16"/>
              </w:rPr>
              <w:t>Can a typical eligible employee realistically access the next step?</w:t>
            </w:r>
          </w:p>
        </w:tc>
      </w:tr>
      <w:tr>
        <w:tc>
          <w:tcPr>
            <w:tcW w:type="dxa" w:w="5040"/>
            <w:vAlign w:val="top"/>
            <w:tcMar>
              <w:top w:w="70" w:type="dxa"/>
              <w:start w:w="80" w:type="dxa"/>
              <w:bottom w:w="70" w:type="dxa"/>
              <w:end w:w="80" w:type="dxa"/>
            </w:tcMar>
          </w:tcPr>
          <w:p>
            <w:pPr>
              <w:spacing w:after="0"/>
            </w:pPr>
            <w:r>
              <w:rPr>
                <w:sz w:val="16"/>
              </w:rPr>
              <w:t>Employer commitment</w:t>
            </w:r>
          </w:p>
        </w:tc>
        <w:tc>
          <w:tcPr>
            <w:tcW w:type="dxa" w:w="5040"/>
            <w:vAlign w:val="top"/>
            <w:tcMar>
              <w:top w:w="70" w:type="dxa"/>
              <w:start w:w="80" w:type="dxa"/>
              <w:bottom w:w="70" w:type="dxa"/>
              <w:end w:w="80" w:type="dxa"/>
            </w:tcMar>
          </w:tcPr>
          <w:p>
            <w:pPr>
              <w:spacing w:after="0"/>
            </w:pPr>
            <w:r>
              <w:rPr>
                <w:sz w:val="16"/>
              </w:rPr>
              <w:t>Are positions, interviews, development opportunities, or advancement mechanisms actually available?</w:t>
            </w:r>
          </w:p>
        </w:tc>
      </w:tr>
      <w:tr>
        <w:tc>
          <w:tcPr>
            <w:tcW w:type="dxa" w:w="5040"/>
            <w:vAlign w:val="top"/>
            <w:tcMar>
              <w:top w:w="70" w:type="dxa"/>
              <w:start w:w="80" w:type="dxa"/>
              <w:bottom w:w="70" w:type="dxa"/>
              <w:end w:w="80" w:type="dxa"/>
            </w:tcMar>
          </w:tcPr>
          <w:p>
            <w:pPr>
              <w:spacing w:after="0"/>
            </w:pPr>
            <w:r>
              <w:rPr>
                <w:sz w:val="16"/>
              </w:rPr>
              <w:t>Credential value</w:t>
            </w:r>
          </w:p>
        </w:tc>
        <w:tc>
          <w:tcPr>
            <w:tcW w:type="dxa" w:w="5040"/>
            <w:vAlign w:val="top"/>
            <w:tcMar>
              <w:top w:w="70" w:type="dxa"/>
              <w:start w:w="80" w:type="dxa"/>
              <w:bottom w:w="70" w:type="dxa"/>
              <w:end w:w="80" w:type="dxa"/>
            </w:tcMar>
          </w:tcPr>
          <w:p>
            <w:pPr>
              <w:spacing w:after="0"/>
            </w:pPr>
            <w:r>
              <w:rPr>
                <w:sz w:val="16"/>
              </w:rPr>
              <w:t>Does any credential signal skills that employers recognize and reward?</w:t>
            </w:r>
          </w:p>
        </w:tc>
      </w:tr>
      <w:tr>
        <w:tc>
          <w:tcPr>
            <w:tcW w:type="dxa" w:w="5040"/>
            <w:vAlign w:val="top"/>
            <w:tcMar>
              <w:top w:w="70" w:type="dxa"/>
              <w:start w:w="80" w:type="dxa"/>
              <w:bottom w:w="70" w:type="dxa"/>
              <w:end w:w="80" w:type="dxa"/>
            </w:tcMar>
          </w:tcPr>
          <w:p>
            <w:pPr>
              <w:spacing w:after="0"/>
            </w:pPr>
            <w:r>
              <w:rPr>
                <w:sz w:val="16"/>
              </w:rPr>
              <w:t>Transferability</w:t>
            </w:r>
          </w:p>
        </w:tc>
        <w:tc>
          <w:tcPr>
            <w:tcW w:type="dxa" w:w="5040"/>
            <w:vAlign w:val="top"/>
            <w:tcMar>
              <w:top w:w="70" w:type="dxa"/>
              <w:start w:w="80" w:type="dxa"/>
              <w:bottom w:w="70" w:type="dxa"/>
              <w:end w:w="80" w:type="dxa"/>
            </w:tcMar>
          </w:tcPr>
          <w:p>
            <w:pPr>
              <w:spacing w:after="0"/>
            </w:pPr>
            <w:r>
              <w:rPr>
                <w:sz w:val="16"/>
              </w:rPr>
              <w:t>Do developed skills retain value outside one employer or one contact-center job?</w:t>
            </w:r>
          </w:p>
        </w:tc>
      </w:tr>
      <w:tr>
        <w:tc>
          <w:tcPr>
            <w:tcW w:type="dxa" w:w="5040"/>
            <w:vAlign w:val="top"/>
            <w:tcMar>
              <w:top w:w="70" w:type="dxa"/>
              <w:start w:w="80" w:type="dxa"/>
              <w:bottom w:w="70" w:type="dxa"/>
              <w:end w:w="80" w:type="dxa"/>
            </w:tcMar>
          </w:tcPr>
          <w:p>
            <w:pPr>
              <w:spacing w:after="0"/>
            </w:pPr>
            <w:r>
              <w:rPr>
                <w:sz w:val="16"/>
              </w:rPr>
              <w:t>Mobility options</w:t>
            </w:r>
          </w:p>
        </w:tc>
        <w:tc>
          <w:tcPr>
            <w:tcW w:type="dxa" w:w="5040"/>
            <w:vAlign w:val="top"/>
            <w:tcMar>
              <w:top w:w="70" w:type="dxa"/>
              <w:start w:w="80" w:type="dxa"/>
              <w:bottom w:w="70" w:type="dxa"/>
              <w:end w:w="80" w:type="dxa"/>
            </w:tcMar>
          </w:tcPr>
          <w:p>
            <w:pPr>
              <w:spacing w:after="0"/>
            </w:pPr>
            <w:r>
              <w:rPr>
                <w:sz w:val="16"/>
              </w:rPr>
              <w:t>Does the pathway include promotion, lateral mobility, specialization, and external portability where appropriate?</w:t>
            </w:r>
          </w:p>
        </w:tc>
      </w:tr>
      <w:tr>
        <w:tc>
          <w:tcPr>
            <w:tcW w:type="dxa" w:w="5040"/>
            <w:vAlign w:val="top"/>
            <w:tcMar>
              <w:top w:w="70" w:type="dxa"/>
              <w:start w:w="80" w:type="dxa"/>
              <w:bottom w:w="70" w:type="dxa"/>
              <w:end w:w="80" w:type="dxa"/>
            </w:tcMar>
          </w:tcPr>
          <w:p>
            <w:pPr>
              <w:spacing w:after="0"/>
            </w:pPr>
            <w:r>
              <w:rPr>
                <w:sz w:val="16"/>
              </w:rPr>
              <w:t>Economic value</w:t>
            </w:r>
          </w:p>
        </w:tc>
        <w:tc>
          <w:tcPr>
            <w:tcW w:type="dxa" w:w="5040"/>
            <w:vAlign w:val="top"/>
            <w:tcMar>
              <w:top w:w="70" w:type="dxa"/>
              <w:start w:w="80" w:type="dxa"/>
              <w:bottom w:w="70" w:type="dxa"/>
              <w:end w:w="80" w:type="dxa"/>
            </w:tcMar>
          </w:tcPr>
          <w:p>
            <w:pPr>
              <w:spacing w:after="0"/>
            </w:pPr>
            <w:r>
              <w:rPr>
                <w:sz w:val="16"/>
              </w:rPr>
              <w:t>Do progression or credentials improve earnings, stability, benefits, or access to stronger occupations?</w:t>
            </w:r>
          </w:p>
        </w:tc>
      </w:tr>
      <w:tr>
        <w:tc>
          <w:tcPr>
            <w:tcW w:type="dxa" w:w="5040"/>
            <w:vAlign w:val="top"/>
            <w:tcMar>
              <w:top w:w="70" w:type="dxa"/>
              <w:start w:w="80" w:type="dxa"/>
              <w:bottom w:w="70" w:type="dxa"/>
              <w:end w:w="80" w:type="dxa"/>
            </w:tcMar>
          </w:tcPr>
          <w:p>
            <w:pPr>
              <w:spacing w:after="0"/>
            </w:pPr>
            <w:r>
              <w:rPr>
                <w:sz w:val="16"/>
              </w:rPr>
              <w:t>Equity of access</w:t>
            </w:r>
          </w:p>
        </w:tc>
        <w:tc>
          <w:tcPr>
            <w:tcW w:type="dxa" w:w="5040"/>
            <w:vAlign w:val="top"/>
            <w:tcMar>
              <w:top w:w="70" w:type="dxa"/>
              <w:start w:w="80" w:type="dxa"/>
              <w:bottom w:w="70" w:type="dxa"/>
              <w:end w:w="80" w:type="dxa"/>
            </w:tcMar>
          </w:tcPr>
          <w:p>
            <w:pPr>
              <w:spacing w:after="0"/>
            </w:pPr>
            <w:r>
              <w:rPr>
                <w:sz w:val="16"/>
              </w:rPr>
              <w:t>Are opportunities distributed fairly rather than restricted by informal sponsorship or hidden rules?</w:t>
            </w:r>
          </w:p>
        </w:tc>
      </w:tr>
    </w:tbl>
    <w:p>
      <w:pPr>
        <w:pStyle w:val="Heading1"/>
      </w:pPr>
      <w:r>
        <w:t>5. Career Pathway Outcome Model</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Stage</w:t>
            </w:r>
          </w:p>
        </w:tc>
        <w:tc>
          <w:tcPr>
            <w:tcW w:type="dxa" w:w="3360"/>
            <w:shd w:fill="0B3A53"/>
            <w:vAlign w:val="center"/>
            <w:tcMar>
              <w:top w:w="70" w:type="dxa"/>
              <w:start w:w="80" w:type="dxa"/>
              <w:bottom w:w="70" w:type="dxa"/>
              <w:end w:w="80" w:type="dxa"/>
            </w:tcMar>
          </w:tcPr>
          <w:p>
            <w:r>
              <w:rPr>
                <w:b/>
                <w:color w:val="FFFFFF"/>
                <w:sz w:val="16"/>
              </w:rPr>
              <w:t>Primary question</w:t>
            </w:r>
          </w:p>
        </w:tc>
        <w:tc>
          <w:tcPr>
            <w:tcW w:type="dxa" w:w="3360"/>
            <w:shd w:fill="0B3A53"/>
            <w:vAlign w:val="center"/>
            <w:tcMar>
              <w:top w:w="70" w:type="dxa"/>
              <w:start w:w="80" w:type="dxa"/>
              <w:bottom w:w="70" w:type="dxa"/>
              <w:end w:w="80" w:type="dxa"/>
            </w:tcMar>
          </w:tcPr>
          <w:p>
            <w:r>
              <w:rPr>
                <w:b/>
                <w:color w:val="FFFFFF"/>
                <w:sz w:val="16"/>
              </w:rPr>
              <w:t>Illustrative outcome</w:t>
            </w:r>
          </w:p>
        </w:tc>
      </w:tr>
      <w:tr>
        <w:tc>
          <w:tcPr>
            <w:tcW w:type="dxa" w:w="3360"/>
            <w:vAlign w:val="top"/>
            <w:tcMar>
              <w:top w:w="70" w:type="dxa"/>
              <w:start w:w="80" w:type="dxa"/>
              <w:bottom w:w="70" w:type="dxa"/>
              <w:end w:w="80" w:type="dxa"/>
            </w:tcMar>
          </w:tcPr>
          <w:p>
            <w:pPr>
              <w:spacing w:after="0"/>
            </w:pPr>
            <w:r>
              <w:rPr>
                <w:sz w:val="16"/>
              </w:rPr>
              <w:t>Entry</w:t>
            </w:r>
          </w:p>
        </w:tc>
        <w:tc>
          <w:tcPr>
            <w:tcW w:type="dxa" w:w="3360"/>
            <w:vAlign w:val="top"/>
            <w:tcMar>
              <w:top w:w="70" w:type="dxa"/>
              <w:start w:w="80" w:type="dxa"/>
              <w:bottom w:w="70" w:type="dxa"/>
              <w:end w:w="80" w:type="dxa"/>
            </w:tcMar>
          </w:tcPr>
          <w:p>
            <w:pPr>
              <w:spacing w:after="0"/>
            </w:pPr>
            <w:r>
              <w:rPr>
                <w:sz w:val="16"/>
              </w:rPr>
              <w:t>Can the person enter without unnecessary barriers?</w:t>
            </w:r>
          </w:p>
        </w:tc>
        <w:tc>
          <w:tcPr>
            <w:tcW w:type="dxa" w:w="3360"/>
            <w:vAlign w:val="top"/>
            <w:tcMar>
              <w:top w:w="70" w:type="dxa"/>
              <w:start w:w="80" w:type="dxa"/>
              <w:bottom w:w="70" w:type="dxa"/>
              <w:end w:w="80" w:type="dxa"/>
            </w:tcMar>
          </w:tcPr>
          <w:p>
            <w:pPr>
              <w:spacing w:after="0"/>
            </w:pPr>
            <w:r>
              <w:rPr>
                <w:sz w:val="16"/>
              </w:rPr>
              <w:t>Placement / employment</w:t>
            </w:r>
          </w:p>
        </w:tc>
      </w:tr>
      <w:tr>
        <w:tc>
          <w:tcPr>
            <w:tcW w:type="dxa" w:w="3360"/>
            <w:vAlign w:val="top"/>
            <w:tcMar>
              <w:top w:w="70" w:type="dxa"/>
              <w:start w:w="80" w:type="dxa"/>
              <w:bottom w:w="70" w:type="dxa"/>
              <w:end w:w="80" w:type="dxa"/>
            </w:tcMar>
          </w:tcPr>
          <w:p>
            <w:pPr>
              <w:spacing w:after="0"/>
            </w:pPr>
            <w:r>
              <w:rPr>
                <w:sz w:val="16"/>
              </w:rPr>
              <w:t>Stabilization</w:t>
            </w:r>
          </w:p>
        </w:tc>
        <w:tc>
          <w:tcPr>
            <w:tcW w:type="dxa" w:w="3360"/>
            <w:vAlign w:val="top"/>
            <w:tcMar>
              <w:top w:w="70" w:type="dxa"/>
              <w:start w:w="80" w:type="dxa"/>
              <w:bottom w:w="70" w:type="dxa"/>
              <w:end w:w="80" w:type="dxa"/>
            </w:tcMar>
          </w:tcPr>
          <w:p>
            <w:pPr>
              <w:spacing w:after="0"/>
            </w:pPr>
            <w:r>
              <w:rPr>
                <w:sz w:val="16"/>
              </w:rPr>
              <w:t>Can the person remain and become proficient?</w:t>
            </w:r>
          </w:p>
        </w:tc>
        <w:tc>
          <w:tcPr>
            <w:tcW w:type="dxa" w:w="3360"/>
            <w:vAlign w:val="top"/>
            <w:tcMar>
              <w:top w:w="70" w:type="dxa"/>
              <w:start w:w="80" w:type="dxa"/>
              <w:bottom w:w="70" w:type="dxa"/>
              <w:end w:w="80" w:type="dxa"/>
            </w:tcMar>
          </w:tcPr>
          <w:p>
            <w:pPr>
              <w:spacing w:after="0"/>
            </w:pPr>
            <w:r>
              <w:rPr>
                <w:sz w:val="16"/>
              </w:rPr>
              <w:t>90-day / 12-month survival</w:t>
            </w:r>
          </w:p>
        </w:tc>
      </w:tr>
      <w:tr>
        <w:tc>
          <w:tcPr>
            <w:tcW w:type="dxa" w:w="3360"/>
            <w:vAlign w:val="top"/>
            <w:tcMar>
              <w:top w:w="70" w:type="dxa"/>
              <w:start w:w="80" w:type="dxa"/>
              <w:bottom w:w="70" w:type="dxa"/>
              <w:end w:w="80" w:type="dxa"/>
            </w:tcMar>
          </w:tcPr>
          <w:p>
            <w:pPr>
              <w:spacing w:after="0"/>
            </w:pPr>
            <w:r>
              <w:rPr>
                <w:sz w:val="16"/>
              </w:rPr>
              <w:t>Capability growth</w:t>
            </w:r>
          </w:p>
        </w:tc>
        <w:tc>
          <w:tcPr>
            <w:tcW w:type="dxa" w:w="3360"/>
            <w:vAlign w:val="top"/>
            <w:tcMar>
              <w:top w:w="70" w:type="dxa"/>
              <w:start w:w="80" w:type="dxa"/>
              <w:bottom w:w="70" w:type="dxa"/>
              <w:end w:w="80" w:type="dxa"/>
            </w:tcMar>
          </w:tcPr>
          <w:p>
            <w:pPr>
              <w:spacing w:after="0"/>
            </w:pPr>
            <w:r>
              <w:rPr>
                <w:sz w:val="16"/>
              </w:rPr>
              <w:t>Does the person gain demonstrable, portable skills?</w:t>
            </w:r>
          </w:p>
        </w:tc>
        <w:tc>
          <w:tcPr>
            <w:tcW w:type="dxa" w:w="3360"/>
            <w:vAlign w:val="top"/>
            <w:tcMar>
              <w:top w:w="70" w:type="dxa"/>
              <w:start w:w="80" w:type="dxa"/>
              <w:bottom w:w="70" w:type="dxa"/>
              <w:end w:w="80" w:type="dxa"/>
            </w:tcMar>
          </w:tcPr>
          <w:p>
            <w:pPr>
              <w:spacing w:after="0"/>
            </w:pPr>
            <w:r>
              <w:rPr>
                <w:sz w:val="16"/>
              </w:rPr>
              <w:t>Verified skill progression</w:t>
            </w:r>
          </w:p>
        </w:tc>
      </w:tr>
      <w:tr>
        <w:tc>
          <w:tcPr>
            <w:tcW w:type="dxa" w:w="3360"/>
            <w:vAlign w:val="top"/>
            <w:tcMar>
              <w:top w:w="70" w:type="dxa"/>
              <w:start w:w="80" w:type="dxa"/>
              <w:bottom w:w="70" w:type="dxa"/>
              <w:end w:w="80" w:type="dxa"/>
            </w:tcMar>
          </w:tcPr>
          <w:p>
            <w:pPr>
              <w:spacing w:after="0"/>
            </w:pPr>
            <w:r>
              <w:rPr>
                <w:sz w:val="16"/>
              </w:rPr>
              <w:t>Mobility</w:t>
            </w:r>
          </w:p>
        </w:tc>
        <w:tc>
          <w:tcPr>
            <w:tcW w:type="dxa" w:w="3360"/>
            <w:vAlign w:val="top"/>
            <w:tcMar>
              <w:top w:w="70" w:type="dxa"/>
              <w:start w:w="80" w:type="dxa"/>
              <w:bottom w:w="70" w:type="dxa"/>
              <w:end w:w="80" w:type="dxa"/>
            </w:tcMar>
          </w:tcPr>
          <w:p>
            <w:pPr>
              <w:spacing w:after="0"/>
            </w:pPr>
            <w:r>
              <w:rPr>
                <w:sz w:val="16"/>
              </w:rPr>
              <w:t>Can the person move to a better-fit or higher-value role?</w:t>
            </w:r>
          </w:p>
        </w:tc>
        <w:tc>
          <w:tcPr>
            <w:tcW w:type="dxa" w:w="3360"/>
            <w:vAlign w:val="top"/>
            <w:tcMar>
              <w:top w:w="70" w:type="dxa"/>
              <w:start w:w="80" w:type="dxa"/>
              <w:bottom w:w="70" w:type="dxa"/>
              <w:end w:w="80" w:type="dxa"/>
            </w:tcMar>
          </w:tcPr>
          <w:p>
            <w:pPr>
              <w:spacing w:after="0"/>
            </w:pPr>
            <w:r>
              <w:rPr>
                <w:sz w:val="16"/>
              </w:rPr>
              <w:t>Promotion / lateral move / transition</w:t>
            </w:r>
          </w:p>
        </w:tc>
      </w:tr>
      <w:tr>
        <w:tc>
          <w:tcPr>
            <w:tcW w:type="dxa" w:w="3360"/>
            <w:vAlign w:val="top"/>
            <w:tcMar>
              <w:top w:w="70" w:type="dxa"/>
              <w:start w:w="80" w:type="dxa"/>
              <w:bottom w:w="70" w:type="dxa"/>
              <w:end w:w="80" w:type="dxa"/>
            </w:tcMar>
          </w:tcPr>
          <w:p>
            <w:pPr>
              <w:spacing w:after="0"/>
            </w:pPr>
            <w:r>
              <w:rPr>
                <w:sz w:val="16"/>
              </w:rPr>
              <w:t>Economic progress</w:t>
            </w:r>
          </w:p>
        </w:tc>
        <w:tc>
          <w:tcPr>
            <w:tcW w:type="dxa" w:w="3360"/>
            <w:vAlign w:val="top"/>
            <w:tcMar>
              <w:top w:w="70" w:type="dxa"/>
              <w:start w:w="80" w:type="dxa"/>
              <w:bottom w:w="70" w:type="dxa"/>
              <w:end w:w="80" w:type="dxa"/>
            </w:tcMar>
          </w:tcPr>
          <w:p>
            <w:pPr>
              <w:spacing w:after="0"/>
            </w:pPr>
            <w:r>
              <w:rPr>
                <w:sz w:val="16"/>
              </w:rPr>
              <w:t>Does the move create material value?</w:t>
            </w:r>
          </w:p>
        </w:tc>
        <w:tc>
          <w:tcPr>
            <w:tcW w:type="dxa" w:w="3360"/>
            <w:vAlign w:val="top"/>
            <w:tcMar>
              <w:top w:w="70" w:type="dxa"/>
              <w:start w:w="80" w:type="dxa"/>
              <w:bottom w:w="70" w:type="dxa"/>
              <w:end w:w="80" w:type="dxa"/>
            </w:tcMar>
          </w:tcPr>
          <w:p>
            <w:pPr>
              <w:spacing w:after="0"/>
            </w:pPr>
            <w:r>
              <w:rPr>
                <w:sz w:val="16"/>
              </w:rPr>
              <w:t>Earnings, hours, benefits, stability</w:t>
            </w:r>
          </w:p>
        </w:tc>
      </w:tr>
      <w:tr>
        <w:tc>
          <w:tcPr>
            <w:tcW w:type="dxa" w:w="3360"/>
            <w:vAlign w:val="top"/>
            <w:tcMar>
              <w:top w:w="70" w:type="dxa"/>
              <w:start w:w="80" w:type="dxa"/>
              <w:bottom w:w="70" w:type="dxa"/>
              <w:end w:w="80" w:type="dxa"/>
            </w:tcMar>
          </w:tcPr>
          <w:p>
            <w:pPr>
              <w:spacing w:after="0"/>
            </w:pPr>
            <w:r>
              <w:rPr>
                <w:sz w:val="16"/>
              </w:rPr>
              <w:t>Career agency</w:t>
            </w:r>
          </w:p>
        </w:tc>
        <w:tc>
          <w:tcPr>
            <w:tcW w:type="dxa" w:w="3360"/>
            <w:vAlign w:val="top"/>
            <w:tcMar>
              <w:top w:w="70" w:type="dxa"/>
              <w:start w:w="80" w:type="dxa"/>
              <w:bottom w:w="70" w:type="dxa"/>
              <w:end w:w="80" w:type="dxa"/>
            </w:tcMar>
          </w:tcPr>
          <w:p>
            <w:pPr>
              <w:spacing w:after="0"/>
            </w:pPr>
            <w:r>
              <w:rPr>
                <w:sz w:val="16"/>
              </w:rPr>
              <w:t>Can the person navigate future transitions intentionally?</w:t>
            </w:r>
          </w:p>
        </w:tc>
        <w:tc>
          <w:tcPr>
            <w:tcW w:type="dxa" w:w="3360"/>
            <w:vAlign w:val="top"/>
            <w:tcMar>
              <w:top w:w="70" w:type="dxa"/>
              <w:start w:w="80" w:type="dxa"/>
              <w:bottom w:w="70" w:type="dxa"/>
              <w:end w:w="80" w:type="dxa"/>
            </w:tcMar>
          </w:tcPr>
          <w:p>
            <w:pPr>
              <w:spacing w:after="0"/>
            </w:pPr>
            <w:r>
              <w:rPr>
                <w:sz w:val="16"/>
              </w:rPr>
              <w:t>Planning, exploration, adaptability, employability</w:t>
            </w:r>
          </w:p>
        </w:tc>
      </w:tr>
      <w:tr>
        <w:tc>
          <w:tcPr>
            <w:tcW w:type="dxa" w:w="3360"/>
            <w:vAlign w:val="top"/>
            <w:tcMar>
              <w:top w:w="70" w:type="dxa"/>
              <w:start w:w="80" w:type="dxa"/>
              <w:bottom w:w="70" w:type="dxa"/>
              <w:end w:w="80" w:type="dxa"/>
            </w:tcMar>
          </w:tcPr>
          <w:p>
            <w:pPr>
              <w:spacing w:after="0"/>
            </w:pPr>
            <w:r>
              <w:rPr>
                <w:sz w:val="16"/>
              </w:rPr>
              <w:t>Employer value</w:t>
            </w:r>
          </w:p>
        </w:tc>
        <w:tc>
          <w:tcPr>
            <w:tcW w:type="dxa" w:w="3360"/>
            <w:vAlign w:val="top"/>
            <w:tcMar>
              <w:top w:w="70" w:type="dxa"/>
              <w:start w:w="80" w:type="dxa"/>
              <w:bottom w:w="70" w:type="dxa"/>
              <w:end w:w="80" w:type="dxa"/>
            </w:tcMar>
          </w:tcPr>
          <w:p>
            <w:pPr>
              <w:spacing w:after="0"/>
            </w:pPr>
            <w:r>
              <w:rPr>
                <w:sz w:val="16"/>
              </w:rPr>
              <w:t>Does the pathway strengthen talent supply and retention where retention is desirable?</w:t>
            </w:r>
          </w:p>
        </w:tc>
        <w:tc>
          <w:tcPr>
            <w:tcW w:type="dxa" w:w="3360"/>
            <w:vAlign w:val="top"/>
            <w:tcMar>
              <w:top w:w="70" w:type="dxa"/>
              <w:start w:w="80" w:type="dxa"/>
              <w:bottom w:w="70" w:type="dxa"/>
              <w:end w:w="80" w:type="dxa"/>
            </w:tcMar>
          </w:tcPr>
          <w:p>
            <w:pPr>
              <w:spacing w:after="0"/>
            </w:pPr>
            <w:r>
              <w:rPr>
                <w:sz w:val="16"/>
              </w:rPr>
              <w:t>Vacancy fill, time-to-proficiency, internal hiring, reduced replacement cost</w:t>
            </w:r>
          </w:p>
        </w:tc>
      </w:tr>
    </w:tbl>
    <w:p>
      <w:pPr>
        <w:pStyle w:val="Heading1"/>
      </w:pPr>
      <w:r>
        <w:t>6. Hypotheses</w:t>
      </w:r>
    </w:p>
    <w:p>
      <w:r>
        <w:rPr>
          <w:b/>
        </w:rPr>
        <w:t>H1 — Pathway Visibility</w:t>
      </w:r>
      <w:r>
        <w:t>: Employees who understand realistic next-step roles and requirements will report stronger career agency and lower perceived career stagnation.</w:t>
      </w:r>
    </w:p>
    <w:p>
      <w:r>
        <w:rPr>
          <w:b/>
        </w:rPr>
        <w:t>H2 — Credibility Over Communication</w:t>
      </w:r>
      <w:r>
        <w:t>: Actual mobility opportunities and demonstrated employer follow-through will predict outcomes more strongly than pathway communication alone.</w:t>
      </w:r>
    </w:p>
    <w:p>
      <w:r>
        <w:rPr>
          <w:b/>
        </w:rPr>
        <w:t>H3 — Internal Mobility and Retention</w:t>
      </w:r>
      <w:r>
        <w:t>: Where good-fit internal opportunities exist, internal mobility will be associated with stronger retention than having no credible mobility option.</w:t>
      </w:r>
    </w:p>
    <w:p>
      <w:r>
        <w:rPr>
          <w:b/>
        </w:rPr>
        <w:t>H4 — Skill Portability</w:t>
      </w:r>
      <w:r>
        <w:t>: Pathways that develop portable, externally recognizable capabilities will improve employability and economic resilience even when employees leave the original employer.</w:t>
      </w:r>
    </w:p>
    <w:p>
      <w:r>
        <w:rPr>
          <w:b/>
        </w:rPr>
        <w:t>H5 — Career Adaptability</w:t>
      </w:r>
      <w:r>
        <w:t>: Career adaptability resources—concern, control, curiosity, and confidence—will relate to exploration, employability, promotability, satisfaction, and transition outcomes, but will not substitute for actual opportunity.</w:t>
      </w:r>
    </w:p>
    <w:p>
      <w:r>
        <w:rPr>
          <w:b/>
        </w:rPr>
        <w:t>H6 — Credential Value Is Conditional</w:t>
      </w:r>
      <w:r>
        <w:t>: Short-term or nondegree credentials will create value only when they are recognized by employers, aligned to demand, connected to skills, and associated with meaningful employment or earnings outcomes.</w:t>
      </w:r>
    </w:p>
    <w:p>
      <w:r>
        <w:rPr>
          <w:b/>
        </w:rPr>
        <w:t>H7 — Employer Commitment Is Necessary</w:t>
      </w:r>
      <w:r>
        <w:t>: A college/workforce pathway will have limited value if employers do not commit to defined hiring access, interviews, work-based learning, advancement opportunities, or other concrete demand signals.</w:t>
      </w:r>
    </w:p>
    <w:p>
      <w:r>
        <w:rPr>
          <w:b/>
        </w:rPr>
        <w:t>H8 — Opportunity Access Is Unequal</w:t>
      </w:r>
      <w:r>
        <w:t>: Formal pathways may still reproduce inequity if eligibility, scheduling, sponsorship, information, or selection processes limit access for particular worker groups.</w:t>
      </w:r>
    </w:p>
    <w:p>
      <w:r>
        <w:rPr>
          <w:b/>
        </w:rPr>
        <w:t>H9 — Advancement Is Not the Only Success Outcome</w:t>
      </w:r>
      <w:r>
        <w:t>: Lateral movement, specialization, skill growth, improved job quality, or successful external transition may represent positive pathway outcomes even without promotion.</w:t>
      </w:r>
    </w:p>
    <w:p>
      <w:r>
        <w:rPr>
          <w:b/>
        </w:rPr>
        <w:t>H10 — Retention Has Boundaries</w:t>
      </w:r>
      <w:r>
        <w:t>: A pathway should not be judged solely by whether employees stay. A strong pathway may increase healthy external mobility if internal opportunities, compensation, or job quality do not keep pace.</w:t>
      </w:r>
    </w:p>
    <w:p>
      <w:pPr>
        <w:pStyle w:val="Heading1"/>
      </w:pPr>
      <w:r>
        <w:t>7. Evidence Sufficiency Decision Framework</w:t>
      </w:r>
    </w:p>
    <w:p>
      <w:r>
        <w:t>Study #006 uses the portfolio's External Evidence First rule. Existing high-quality research will be used where it already answers a question. ResolveCX primary research will be limited to contact-center transferability, unresolved mechanisms, employer commitment, pathway design, or intervention effectiveness.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shd w:fill="0B3A53"/>
            <w:vAlign w:val="center"/>
            <w:tcMar>
              <w:top w:w="70" w:type="dxa"/>
              <w:start w:w="80" w:type="dxa"/>
              <w:bottom w:w="70" w:type="dxa"/>
              <w:end w:w="80" w:type="dxa"/>
            </w:tcMar>
          </w:tcPr>
          <w:p>
            <w:r>
              <w:rPr>
                <w:b/>
                <w:color w:val="FFFFFF"/>
                <w:sz w:val="16"/>
              </w:rPr>
              <w:t>Evidence status</w:t>
            </w:r>
          </w:p>
        </w:tc>
        <w:tc>
          <w:tcPr>
            <w:tcW w:type="dxa" w:w="5040"/>
            <w:shd w:fill="0B3A53"/>
            <w:vAlign w:val="center"/>
            <w:tcMar>
              <w:top w:w="70" w:type="dxa"/>
              <w:start w:w="80" w:type="dxa"/>
              <w:bottom w:w="70" w:type="dxa"/>
              <w:end w:w="80" w:type="dxa"/>
            </w:tcMar>
          </w:tcPr>
          <w:p>
            <w:r>
              <w:rPr>
                <w:b/>
                <w:color w:val="FFFFFF"/>
                <w:sz w:val="16"/>
              </w:rPr>
              <w:t>Action</w:t>
            </w:r>
          </w:p>
        </w:tc>
      </w:tr>
      <w:tr>
        <w:tc>
          <w:tcPr>
            <w:tcW w:type="dxa" w:w="5040"/>
            <w:vAlign w:val="top"/>
            <w:tcMar>
              <w:top w:w="70" w:type="dxa"/>
              <w:start w:w="80" w:type="dxa"/>
              <w:bottom w:w="70" w:type="dxa"/>
              <w:end w:w="80" w:type="dxa"/>
            </w:tcMar>
          </w:tcPr>
          <w:p>
            <w:pPr>
              <w:spacing w:after="0"/>
            </w:pPr>
            <w:r>
              <w:rPr>
                <w:sz w:val="16"/>
              </w:rPr>
              <w:t>ESTABLISHED</w:t>
            </w:r>
          </w:p>
        </w:tc>
        <w:tc>
          <w:tcPr>
            <w:tcW w:type="dxa" w:w="5040"/>
            <w:vAlign w:val="top"/>
            <w:tcMar>
              <w:top w:w="70" w:type="dxa"/>
              <w:start w:w="80" w:type="dxa"/>
              <w:bottom w:w="70" w:type="dxa"/>
              <w:end w:w="80" w:type="dxa"/>
            </w:tcMar>
          </w:tcPr>
          <w:p>
            <w:pPr>
              <w:spacing w:after="0"/>
            </w:pPr>
            <w:r>
              <w:rPr>
                <w:sz w:val="16"/>
              </w:rPr>
              <w:t>Use external evidence; do not duplicate merely to reproduce a mature finding.</w:t>
            </w:r>
          </w:p>
        </w:tc>
      </w:tr>
      <w:tr>
        <w:tc>
          <w:tcPr>
            <w:tcW w:type="dxa" w:w="5040"/>
            <w:vAlign w:val="top"/>
            <w:tcMar>
              <w:top w:w="70" w:type="dxa"/>
              <w:start w:w="80" w:type="dxa"/>
              <w:bottom w:w="70" w:type="dxa"/>
              <w:end w:w="80" w:type="dxa"/>
            </w:tcMar>
          </w:tcPr>
          <w:p>
            <w:pPr>
              <w:spacing w:after="0"/>
            </w:pPr>
            <w:r>
              <w:rPr>
                <w:sz w:val="16"/>
              </w:rPr>
              <w:t>SUPPORTED BUT TRANSFERABILITY UNKNOWN</w:t>
            </w:r>
          </w:p>
        </w:tc>
        <w:tc>
          <w:tcPr>
            <w:tcW w:type="dxa" w:w="5040"/>
            <w:vAlign w:val="top"/>
            <w:tcMar>
              <w:top w:w="70" w:type="dxa"/>
              <w:start w:w="80" w:type="dxa"/>
              <w:bottom w:w="70" w:type="dxa"/>
              <w:end w:w="80" w:type="dxa"/>
            </w:tcMar>
          </w:tcPr>
          <w:p>
            <w:pPr>
              <w:spacing w:after="0"/>
            </w:pPr>
            <w:r>
              <w:rPr>
                <w:sz w:val="16"/>
              </w:rPr>
              <w:t>Test only whether the relationship applies to the target contact-center/workforce setting.</w:t>
            </w:r>
          </w:p>
        </w:tc>
      </w:tr>
      <w:tr>
        <w:tc>
          <w:tcPr>
            <w:tcW w:type="dxa" w:w="5040"/>
            <w:vAlign w:val="top"/>
            <w:tcMar>
              <w:top w:w="70" w:type="dxa"/>
              <w:start w:w="80" w:type="dxa"/>
              <w:bottom w:w="70" w:type="dxa"/>
              <w:end w:w="80" w:type="dxa"/>
            </w:tcMar>
          </w:tcPr>
          <w:p>
            <w:pPr>
              <w:spacing w:after="0"/>
            </w:pPr>
            <w:r>
              <w:rPr>
                <w:sz w:val="16"/>
              </w:rPr>
              <w:t>MIXED</w:t>
            </w:r>
          </w:p>
        </w:tc>
        <w:tc>
          <w:tcPr>
            <w:tcW w:type="dxa" w:w="5040"/>
            <w:vAlign w:val="top"/>
            <w:tcMar>
              <w:top w:w="70" w:type="dxa"/>
              <w:start w:w="80" w:type="dxa"/>
              <w:bottom w:w="70" w:type="dxa"/>
              <w:end w:w="80" w:type="dxa"/>
            </w:tcMar>
          </w:tcPr>
          <w:p>
            <w:pPr>
              <w:spacing w:after="0"/>
            </w:pPr>
            <w:r>
              <w:rPr>
                <w:sz w:val="16"/>
              </w:rPr>
              <w:t>Investigate moderators, context, field, credential type, access, or implementation differences.</w:t>
            </w:r>
          </w:p>
        </w:tc>
      </w:tr>
      <w:tr>
        <w:tc>
          <w:tcPr>
            <w:tcW w:type="dxa" w:w="5040"/>
            <w:vAlign w:val="top"/>
            <w:tcMar>
              <w:top w:w="70" w:type="dxa"/>
              <w:start w:w="80" w:type="dxa"/>
              <w:bottom w:w="70" w:type="dxa"/>
              <w:end w:w="80" w:type="dxa"/>
            </w:tcMar>
          </w:tcPr>
          <w:p>
            <w:pPr>
              <w:spacing w:after="0"/>
            </w:pPr>
            <w:r>
              <w:rPr>
                <w:sz w:val="16"/>
              </w:rPr>
              <w:t>EVIDENCE GAP</w:t>
            </w:r>
          </w:p>
        </w:tc>
        <w:tc>
          <w:tcPr>
            <w:tcW w:type="dxa" w:w="5040"/>
            <w:vAlign w:val="top"/>
            <w:tcMar>
              <w:top w:w="70" w:type="dxa"/>
              <w:start w:w="80" w:type="dxa"/>
              <w:bottom w:w="70" w:type="dxa"/>
              <w:end w:w="80" w:type="dxa"/>
            </w:tcMar>
          </w:tcPr>
          <w:p>
            <w:pPr>
              <w:spacing w:after="0"/>
            </w:pPr>
            <w:r>
              <w:rPr>
                <w:sz w:val="16"/>
              </w:rPr>
              <w:t>Collect targeted primary evidence if the question is material to ResolveCX.</w:t>
            </w:r>
          </w:p>
        </w:tc>
      </w:tr>
      <w:tr>
        <w:tc>
          <w:tcPr>
            <w:tcW w:type="dxa" w:w="5040"/>
            <w:vAlign w:val="top"/>
            <w:tcMar>
              <w:top w:w="70" w:type="dxa"/>
              <w:start w:w="80" w:type="dxa"/>
              <w:bottom w:w="70" w:type="dxa"/>
              <w:end w:w="80" w:type="dxa"/>
            </w:tcMar>
          </w:tcPr>
          <w:p>
            <w:pPr>
              <w:spacing w:after="0"/>
            </w:pPr>
            <w:r>
              <w:rPr>
                <w:sz w:val="16"/>
              </w:rPr>
              <w:t>CONTRADICTED</w:t>
            </w:r>
          </w:p>
        </w:tc>
        <w:tc>
          <w:tcPr>
            <w:tcW w:type="dxa" w:w="5040"/>
            <w:vAlign w:val="top"/>
            <w:tcMar>
              <w:top w:w="70" w:type="dxa"/>
              <w:start w:w="80" w:type="dxa"/>
              <w:bottom w:w="70" w:type="dxa"/>
              <w:end w:w="80" w:type="dxa"/>
            </w:tcMar>
          </w:tcPr>
          <w:p>
            <w:pPr>
              <w:spacing w:after="0"/>
            </w:pPr>
            <w:r>
              <w:rPr>
                <w:sz w:val="16"/>
              </w:rPr>
              <w:t>Revise, narrow, or reject the hypothesis unless a documented context-specific reason justifies further testing.</w:t>
            </w:r>
          </w:p>
        </w:tc>
      </w:tr>
      <w:tr>
        <w:tc>
          <w:tcPr>
            <w:tcW w:type="dxa" w:w="5040"/>
            <w:vAlign w:val="top"/>
            <w:tcMar>
              <w:top w:w="70" w:type="dxa"/>
              <w:start w:w="80" w:type="dxa"/>
              <w:bottom w:w="70" w:type="dxa"/>
              <w:end w:w="80" w:type="dxa"/>
            </w:tcMar>
          </w:tcPr>
          <w:p>
            <w:pPr>
              <w:spacing w:after="0"/>
            </w:pPr>
            <w:r>
              <w:rPr>
                <w:sz w:val="16"/>
              </w:rPr>
              <w:t>RESOLVECX-SPECIFIC GAP</w:t>
            </w:r>
          </w:p>
        </w:tc>
        <w:tc>
          <w:tcPr>
            <w:tcW w:type="dxa" w:w="5040"/>
            <w:vAlign w:val="top"/>
            <w:tcMar>
              <w:top w:w="70" w:type="dxa"/>
              <w:start w:w="80" w:type="dxa"/>
              <w:bottom w:w="70" w:type="dxa"/>
              <w:end w:w="80" w:type="dxa"/>
            </w:tcMar>
          </w:tcPr>
          <w:p>
            <w:pPr>
              <w:spacing w:after="0"/>
            </w:pPr>
            <w:r>
              <w:rPr>
                <w:sz w:val="16"/>
              </w:rPr>
              <w:t>Directly evaluate the ResolveCX pathway/intervention before making effectiveness claims.</w:t>
            </w:r>
          </w:p>
        </w:tc>
      </w:tr>
    </w:tbl>
    <w:p>
      <w:pPr>
        <w:pStyle w:val="Heading1"/>
      </w:pPr>
      <w:r>
        <w:t>8. Hypothesis-Level Evidence Triage</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Hypothesis</w:t>
            </w:r>
          </w:p>
        </w:tc>
        <w:tc>
          <w:tcPr>
            <w:tcW w:type="dxa" w:w="3360"/>
            <w:shd w:fill="0B3A53"/>
            <w:vAlign w:val="center"/>
            <w:tcMar>
              <w:top w:w="70" w:type="dxa"/>
              <w:start w:w="80" w:type="dxa"/>
              <w:bottom w:w="70" w:type="dxa"/>
              <w:end w:w="80" w:type="dxa"/>
            </w:tcMar>
          </w:tcPr>
          <w:p>
            <w:r>
              <w:rPr>
                <w:b/>
                <w:color w:val="FFFFFF"/>
                <w:sz w:val="16"/>
              </w:rPr>
              <w:t>Current status</w:t>
            </w:r>
          </w:p>
        </w:tc>
        <w:tc>
          <w:tcPr>
            <w:tcW w:type="dxa" w:w="3360"/>
            <w:shd w:fill="0B3A53"/>
            <w:vAlign w:val="center"/>
            <w:tcMar>
              <w:top w:w="70" w:type="dxa"/>
              <w:start w:w="80" w:type="dxa"/>
              <w:bottom w:w="70" w:type="dxa"/>
              <w:end w:w="80" w:type="dxa"/>
            </w:tcMar>
          </w:tcPr>
          <w:p>
            <w:r>
              <w:rPr>
                <w:b/>
                <w:color w:val="FFFFFF"/>
                <w:sz w:val="16"/>
              </w:rPr>
              <w:t>Primary implication</w:t>
            </w:r>
          </w:p>
        </w:tc>
      </w:tr>
      <w:tr>
        <w:tc>
          <w:tcPr>
            <w:tcW w:type="dxa" w:w="3360"/>
            <w:vAlign w:val="top"/>
            <w:tcMar>
              <w:top w:w="70" w:type="dxa"/>
              <w:start w:w="80" w:type="dxa"/>
              <w:bottom w:w="70" w:type="dxa"/>
              <w:end w:w="80" w:type="dxa"/>
            </w:tcMar>
          </w:tcPr>
          <w:p>
            <w:pPr>
              <w:spacing w:after="0"/>
            </w:pPr>
            <w:r>
              <w:rPr>
                <w:sz w:val="16"/>
              </w:rPr>
              <w:t>H1 Pathway Visibility</w:t>
            </w:r>
          </w:p>
        </w:tc>
        <w:tc>
          <w:tcPr>
            <w:tcW w:type="dxa" w:w="3360"/>
            <w:vAlign w:val="top"/>
            <w:tcMar>
              <w:top w:w="70" w:type="dxa"/>
              <w:start w:w="80" w:type="dxa"/>
              <w:bottom w:w="70" w:type="dxa"/>
              <w:end w:w="80" w:type="dxa"/>
            </w:tcMar>
          </w:tcPr>
          <w:p>
            <w:pPr>
              <w:spacing w:after="0"/>
            </w:pPr>
            <w:r>
              <w:rPr>
                <w:sz w:val="16"/>
              </w:rPr>
              <w:t>SUPPORTED / DIRECT CAUSAL GAP</w:t>
            </w:r>
          </w:p>
        </w:tc>
        <w:tc>
          <w:tcPr>
            <w:tcW w:type="dxa" w:w="3360"/>
            <w:vAlign w:val="top"/>
            <w:tcMar>
              <w:top w:w="70" w:type="dxa"/>
              <w:start w:w="80" w:type="dxa"/>
              <w:bottom w:w="70" w:type="dxa"/>
              <w:end w:w="80" w:type="dxa"/>
            </w:tcMar>
          </w:tcPr>
          <w:p>
            <w:pPr>
              <w:spacing w:after="0"/>
            </w:pPr>
            <w:r>
              <w:rPr>
                <w:sz w:val="16"/>
              </w:rPr>
              <w:t>Career planning and adaptability literature supports career agency; pathway visibility itself needs more direct causal evidence.</w:t>
            </w:r>
          </w:p>
        </w:tc>
      </w:tr>
      <w:tr>
        <w:tc>
          <w:tcPr>
            <w:tcW w:type="dxa" w:w="3360"/>
            <w:vAlign w:val="top"/>
            <w:tcMar>
              <w:top w:w="70" w:type="dxa"/>
              <w:start w:w="80" w:type="dxa"/>
              <w:bottom w:w="70" w:type="dxa"/>
              <w:end w:w="80" w:type="dxa"/>
            </w:tcMar>
          </w:tcPr>
          <w:p>
            <w:pPr>
              <w:spacing w:after="0"/>
            </w:pPr>
            <w:r>
              <w:rPr>
                <w:sz w:val="16"/>
              </w:rPr>
              <w:t>H2 Credibility Over Communication</w:t>
            </w:r>
          </w:p>
        </w:tc>
        <w:tc>
          <w:tcPr>
            <w:tcW w:type="dxa" w:w="3360"/>
            <w:vAlign w:val="top"/>
            <w:tcMar>
              <w:top w:w="70" w:type="dxa"/>
              <w:start w:w="80" w:type="dxa"/>
              <w:bottom w:w="70" w:type="dxa"/>
              <w:end w:w="80" w:type="dxa"/>
            </w:tcMar>
          </w:tcPr>
          <w:p>
            <w:pPr>
              <w:spacing w:after="0"/>
            </w:pPr>
            <w:r>
              <w:rPr>
                <w:sz w:val="16"/>
              </w:rPr>
              <w:t>EVIDENCE GAP / HIGH PRIORITY</w:t>
            </w:r>
          </w:p>
        </w:tc>
        <w:tc>
          <w:tcPr>
            <w:tcW w:type="dxa" w:w="3360"/>
            <w:vAlign w:val="top"/>
            <w:tcMar>
              <w:top w:w="70" w:type="dxa"/>
              <w:start w:w="80" w:type="dxa"/>
              <w:bottom w:w="70" w:type="dxa"/>
              <w:end w:w="80" w:type="dxa"/>
            </w:tcMar>
          </w:tcPr>
          <w:p>
            <w:pPr>
              <w:spacing w:after="0"/>
            </w:pPr>
            <w:r>
              <w:rPr>
                <w:sz w:val="16"/>
              </w:rPr>
              <w:t>Employer follow-through must be observed, not inferred from career maps.</w:t>
            </w:r>
          </w:p>
        </w:tc>
      </w:tr>
      <w:tr>
        <w:tc>
          <w:tcPr>
            <w:tcW w:type="dxa" w:w="3360"/>
            <w:vAlign w:val="top"/>
            <w:tcMar>
              <w:top w:w="70" w:type="dxa"/>
              <w:start w:w="80" w:type="dxa"/>
              <w:bottom w:w="70" w:type="dxa"/>
              <w:end w:w="80" w:type="dxa"/>
            </w:tcMar>
          </w:tcPr>
          <w:p>
            <w:pPr>
              <w:spacing w:after="0"/>
            </w:pPr>
            <w:r>
              <w:rPr>
                <w:sz w:val="16"/>
              </w:rPr>
              <w:t>H3 Internal Mobility and Retention</w:t>
            </w:r>
          </w:p>
        </w:tc>
        <w:tc>
          <w:tcPr>
            <w:tcW w:type="dxa" w:w="3360"/>
            <w:vAlign w:val="top"/>
            <w:tcMar>
              <w:top w:w="70" w:type="dxa"/>
              <w:start w:w="80" w:type="dxa"/>
              <w:bottom w:w="70" w:type="dxa"/>
              <w:end w:w="80" w:type="dxa"/>
            </w:tcMar>
          </w:tcPr>
          <w:p>
            <w:pPr>
              <w:spacing w:after="0"/>
            </w:pPr>
            <w:r>
              <w:rPr>
                <w:sz w:val="16"/>
              </w:rPr>
              <w:t>SUPPORTED</w:t>
            </w:r>
          </w:p>
        </w:tc>
        <w:tc>
          <w:tcPr>
            <w:tcW w:type="dxa" w:w="3360"/>
            <w:vAlign w:val="top"/>
            <w:tcMar>
              <w:top w:w="70" w:type="dxa"/>
              <w:start w:w="80" w:type="dxa"/>
              <w:bottom w:w="70" w:type="dxa"/>
              <w:end w:w="80" w:type="dxa"/>
            </w:tcMar>
          </w:tcPr>
          <w:p>
            <w:pPr>
              <w:spacing w:after="0"/>
            </w:pPr>
            <w:r>
              <w:rPr>
                <w:sz w:val="16"/>
              </w:rPr>
              <w:t>Large organizational data show internal advancement can support retention, especially among strong performers; causal generalization remains context-dependent.</w:t>
            </w:r>
          </w:p>
        </w:tc>
      </w:tr>
      <w:tr>
        <w:tc>
          <w:tcPr>
            <w:tcW w:type="dxa" w:w="3360"/>
            <w:vAlign w:val="top"/>
            <w:tcMar>
              <w:top w:w="70" w:type="dxa"/>
              <w:start w:w="80" w:type="dxa"/>
              <w:bottom w:w="70" w:type="dxa"/>
              <w:end w:w="80" w:type="dxa"/>
            </w:tcMar>
          </w:tcPr>
          <w:p>
            <w:pPr>
              <w:spacing w:after="0"/>
            </w:pPr>
            <w:r>
              <w:rPr>
                <w:sz w:val="16"/>
              </w:rPr>
              <w:t>H4 Skill Portability</w:t>
            </w:r>
          </w:p>
        </w:tc>
        <w:tc>
          <w:tcPr>
            <w:tcW w:type="dxa" w:w="3360"/>
            <w:vAlign w:val="top"/>
            <w:tcMar>
              <w:top w:w="70" w:type="dxa"/>
              <w:start w:w="80" w:type="dxa"/>
              <w:bottom w:w="70" w:type="dxa"/>
              <w:end w:w="80" w:type="dxa"/>
            </w:tcMar>
          </w:tcPr>
          <w:p>
            <w:pPr>
              <w:spacing w:after="0"/>
            </w:pPr>
            <w:r>
              <w:rPr>
                <w:sz w:val="16"/>
              </w:rPr>
              <w:t>SUPPORTED BUT OUTCOME-SPECIFIC</w:t>
            </w:r>
          </w:p>
        </w:tc>
        <w:tc>
          <w:tcPr>
            <w:tcW w:type="dxa" w:w="3360"/>
            <w:vAlign w:val="top"/>
            <w:tcMar>
              <w:top w:w="70" w:type="dxa"/>
              <w:start w:w="80" w:type="dxa"/>
              <w:bottom w:w="70" w:type="dxa"/>
              <w:end w:w="80" w:type="dxa"/>
            </w:tcMar>
          </w:tcPr>
          <w:p>
            <w:pPr>
              <w:spacing w:after="0"/>
            </w:pPr>
            <w:r>
              <w:rPr>
                <w:sz w:val="16"/>
              </w:rPr>
              <w:t>Workforce-credential and career-adaptability evidence supports portability/employability, but specific ResolveCX skills must be tested.</w:t>
            </w:r>
          </w:p>
        </w:tc>
      </w:tr>
      <w:tr>
        <w:tc>
          <w:tcPr>
            <w:tcW w:type="dxa" w:w="3360"/>
            <w:vAlign w:val="top"/>
            <w:tcMar>
              <w:top w:w="70" w:type="dxa"/>
              <w:start w:w="80" w:type="dxa"/>
              <w:bottom w:w="70" w:type="dxa"/>
              <w:end w:w="80" w:type="dxa"/>
            </w:tcMar>
          </w:tcPr>
          <w:p>
            <w:pPr>
              <w:spacing w:after="0"/>
            </w:pPr>
            <w:r>
              <w:rPr>
                <w:sz w:val="16"/>
              </w:rPr>
              <w:t>H5 Career Adaptability</w:t>
            </w:r>
          </w:p>
        </w:tc>
        <w:tc>
          <w:tcPr>
            <w:tcW w:type="dxa" w:w="3360"/>
            <w:vAlign w:val="top"/>
            <w:tcMar>
              <w:top w:w="70" w:type="dxa"/>
              <w:start w:w="80" w:type="dxa"/>
              <w:bottom w:w="70" w:type="dxa"/>
              <w:end w:w="80" w:type="dxa"/>
            </w:tcMar>
          </w:tcPr>
          <w:p>
            <w:pPr>
              <w:spacing w:after="0"/>
            </w:pPr>
            <w:r>
              <w:rPr>
                <w:sz w:val="16"/>
              </w:rPr>
              <w:t>ESTABLISHED FOUNDATION</w:t>
            </w:r>
          </w:p>
        </w:tc>
        <w:tc>
          <w:tcPr>
            <w:tcW w:type="dxa" w:w="3360"/>
            <w:vAlign w:val="top"/>
            <w:tcMar>
              <w:top w:w="70" w:type="dxa"/>
              <w:start w:w="80" w:type="dxa"/>
              <w:bottom w:w="70" w:type="dxa"/>
              <w:end w:w="80" w:type="dxa"/>
            </w:tcMar>
          </w:tcPr>
          <w:p>
            <w:pPr>
              <w:spacing w:after="0"/>
            </w:pPr>
            <w:r>
              <w:rPr>
                <w:sz w:val="16"/>
              </w:rPr>
              <w:t>Meta-analyses across 90 and 76 studies support the construct and many adaptation outcomes. Do not re-prove the general theory.</w:t>
            </w:r>
          </w:p>
        </w:tc>
      </w:tr>
      <w:tr>
        <w:tc>
          <w:tcPr>
            <w:tcW w:type="dxa" w:w="3360"/>
            <w:vAlign w:val="top"/>
            <w:tcMar>
              <w:top w:w="70" w:type="dxa"/>
              <w:start w:w="80" w:type="dxa"/>
              <w:bottom w:w="70" w:type="dxa"/>
              <w:end w:w="80" w:type="dxa"/>
            </w:tcMar>
          </w:tcPr>
          <w:p>
            <w:pPr>
              <w:spacing w:after="0"/>
            </w:pPr>
            <w:r>
              <w:rPr>
                <w:sz w:val="16"/>
              </w:rPr>
              <w:t>H6 Credential Value Is Conditional</w:t>
            </w:r>
          </w:p>
        </w:tc>
        <w:tc>
          <w:tcPr>
            <w:tcW w:type="dxa" w:w="3360"/>
            <w:vAlign w:val="top"/>
            <w:tcMar>
              <w:top w:w="70" w:type="dxa"/>
              <w:start w:w="80" w:type="dxa"/>
              <w:bottom w:w="70" w:type="dxa"/>
              <w:end w:w="80" w:type="dxa"/>
            </w:tcMar>
          </w:tcPr>
          <w:p>
            <w:pPr>
              <w:spacing w:after="0"/>
            </w:pPr>
            <w:r>
              <w:rPr>
                <w:sz w:val="16"/>
              </w:rPr>
              <w:t>ESTABLISHED AS MIXED/CONDITIONAL</w:t>
            </w:r>
          </w:p>
        </w:tc>
        <w:tc>
          <w:tcPr>
            <w:tcW w:type="dxa" w:w="3360"/>
            <w:vAlign w:val="top"/>
            <w:tcMar>
              <w:top w:w="70" w:type="dxa"/>
              <w:start w:w="80" w:type="dxa"/>
              <w:bottom w:w="70" w:type="dxa"/>
              <w:end w:w="80" w:type="dxa"/>
            </w:tcMar>
          </w:tcPr>
          <w:p>
            <w:pPr>
              <w:spacing w:after="0"/>
            </w:pPr>
            <w:r>
              <w:rPr>
                <w:sz w:val="16"/>
              </w:rPr>
              <w:t>Community-college evidence shows returns vary materially by credential length, field, geography, and recognized credential attainment.</w:t>
            </w:r>
          </w:p>
        </w:tc>
      </w:tr>
      <w:tr>
        <w:tc>
          <w:tcPr>
            <w:tcW w:type="dxa" w:w="3360"/>
            <w:vAlign w:val="top"/>
            <w:tcMar>
              <w:top w:w="70" w:type="dxa"/>
              <w:start w:w="80" w:type="dxa"/>
              <w:bottom w:w="70" w:type="dxa"/>
              <w:end w:w="80" w:type="dxa"/>
            </w:tcMar>
          </w:tcPr>
          <w:p>
            <w:pPr>
              <w:spacing w:after="0"/>
            </w:pPr>
            <w:r>
              <w:rPr>
                <w:sz w:val="16"/>
              </w:rPr>
              <w:t>H7 Employer Commitment</w:t>
            </w:r>
          </w:p>
        </w:tc>
        <w:tc>
          <w:tcPr>
            <w:tcW w:type="dxa" w:w="3360"/>
            <w:vAlign w:val="top"/>
            <w:tcMar>
              <w:top w:w="70" w:type="dxa"/>
              <w:start w:w="80" w:type="dxa"/>
              <w:bottom w:w="70" w:type="dxa"/>
              <w:end w:w="80" w:type="dxa"/>
            </w:tcMar>
          </w:tcPr>
          <w:p>
            <w:pPr>
              <w:spacing w:after="0"/>
            </w:pPr>
            <w:r>
              <w:rPr>
                <w:sz w:val="16"/>
              </w:rPr>
              <w:t>RESOLVECX-SPECIFIC GAP</w:t>
            </w:r>
          </w:p>
        </w:tc>
        <w:tc>
          <w:tcPr>
            <w:tcW w:type="dxa" w:w="3360"/>
            <w:vAlign w:val="top"/>
            <w:tcMar>
              <w:top w:w="70" w:type="dxa"/>
              <w:start w:w="80" w:type="dxa"/>
              <w:bottom w:w="70" w:type="dxa"/>
              <w:end w:w="80" w:type="dxa"/>
            </w:tcMar>
          </w:tcPr>
          <w:p>
            <w:pPr>
              <w:spacing w:after="0"/>
            </w:pPr>
            <w:r>
              <w:rPr>
                <w:sz w:val="16"/>
              </w:rPr>
              <w:t>This is central to the ResolveCX economic-buyer thesis and requires direct employer evidence.</w:t>
            </w:r>
          </w:p>
        </w:tc>
      </w:tr>
      <w:tr>
        <w:tc>
          <w:tcPr>
            <w:tcW w:type="dxa" w:w="3360"/>
            <w:vAlign w:val="top"/>
            <w:tcMar>
              <w:top w:w="70" w:type="dxa"/>
              <w:start w:w="80" w:type="dxa"/>
              <w:bottom w:w="70" w:type="dxa"/>
              <w:end w:w="80" w:type="dxa"/>
            </w:tcMar>
          </w:tcPr>
          <w:p>
            <w:pPr>
              <w:spacing w:after="0"/>
            </w:pPr>
            <w:r>
              <w:rPr>
                <w:sz w:val="16"/>
              </w:rPr>
              <w:t>H8 Opportunity Access Is Unequal</w:t>
            </w:r>
          </w:p>
        </w:tc>
        <w:tc>
          <w:tcPr>
            <w:tcW w:type="dxa" w:w="3360"/>
            <w:vAlign w:val="top"/>
            <w:tcMar>
              <w:top w:w="70" w:type="dxa"/>
              <w:start w:w="80" w:type="dxa"/>
              <w:bottom w:w="70" w:type="dxa"/>
              <w:end w:w="80" w:type="dxa"/>
            </w:tcMar>
          </w:tcPr>
          <w:p>
            <w:pPr>
              <w:spacing w:after="0"/>
            </w:pPr>
            <w:r>
              <w:rPr>
                <w:sz w:val="16"/>
              </w:rPr>
              <w:t>SUPPORTED / EQUITY ANALYSIS REQUIRED</w:t>
            </w:r>
          </w:p>
        </w:tc>
        <w:tc>
          <w:tcPr>
            <w:tcW w:type="dxa" w:w="3360"/>
            <w:vAlign w:val="top"/>
            <w:tcMar>
              <w:top w:w="70" w:type="dxa"/>
              <w:start w:w="80" w:type="dxa"/>
              <w:bottom w:w="70" w:type="dxa"/>
              <w:end w:w="80" w:type="dxa"/>
            </w:tcMar>
          </w:tcPr>
          <w:p>
            <w:pPr>
              <w:spacing w:after="0"/>
            </w:pPr>
            <w:r>
              <w:rPr>
                <w:sz w:val="16"/>
              </w:rPr>
              <w:t>Do not assume a formal pathway is equally reachable; analyze access and selection.</w:t>
            </w:r>
          </w:p>
        </w:tc>
      </w:tr>
      <w:tr>
        <w:tc>
          <w:tcPr>
            <w:tcW w:type="dxa" w:w="3360"/>
            <w:vAlign w:val="top"/>
            <w:tcMar>
              <w:top w:w="70" w:type="dxa"/>
              <w:start w:w="80" w:type="dxa"/>
              <w:bottom w:w="70" w:type="dxa"/>
              <w:end w:w="80" w:type="dxa"/>
            </w:tcMar>
          </w:tcPr>
          <w:p>
            <w:pPr>
              <w:spacing w:after="0"/>
            </w:pPr>
            <w:r>
              <w:rPr>
                <w:sz w:val="16"/>
              </w:rPr>
              <w:t>H9 Advancement Is Not the Only Success Outcome</w:t>
            </w:r>
          </w:p>
        </w:tc>
        <w:tc>
          <w:tcPr>
            <w:tcW w:type="dxa" w:w="3360"/>
            <w:vAlign w:val="top"/>
            <w:tcMar>
              <w:top w:w="70" w:type="dxa"/>
              <w:start w:w="80" w:type="dxa"/>
              <w:bottom w:w="70" w:type="dxa"/>
              <w:end w:w="80" w:type="dxa"/>
            </w:tcMar>
          </w:tcPr>
          <w:p>
            <w:pPr>
              <w:spacing w:after="0"/>
            </w:pPr>
            <w:r>
              <w:rPr>
                <w:sz w:val="16"/>
              </w:rPr>
              <w:t>SUPPORTED CONCEPTUALLY</w:t>
            </w:r>
          </w:p>
        </w:tc>
        <w:tc>
          <w:tcPr>
            <w:tcW w:type="dxa" w:w="3360"/>
            <w:vAlign w:val="top"/>
            <w:tcMar>
              <w:top w:w="70" w:type="dxa"/>
              <w:start w:w="80" w:type="dxa"/>
              <w:bottom w:w="70" w:type="dxa"/>
              <w:end w:w="80" w:type="dxa"/>
            </w:tcMar>
          </w:tcPr>
          <w:p>
            <w:pPr>
              <w:spacing w:after="0"/>
            </w:pPr>
            <w:r>
              <w:rPr>
                <w:sz w:val="16"/>
              </w:rPr>
              <w:t>Career success and mobility literature supports multidimensional outcomes; define them prospectively.</w:t>
            </w:r>
          </w:p>
        </w:tc>
      </w:tr>
      <w:tr>
        <w:tc>
          <w:tcPr>
            <w:tcW w:type="dxa" w:w="3360"/>
            <w:vAlign w:val="top"/>
            <w:tcMar>
              <w:top w:w="70" w:type="dxa"/>
              <w:start w:w="80" w:type="dxa"/>
              <w:bottom w:w="70" w:type="dxa"/>
              <w:end w:w="80" w:type="dxa"/>
            </w:tcMar>
          </w:tcPr>
          <w:p>
            <w:pPr>
              <w:spacing w:after="0"/>
            </w:pPr>
            <w:r>
              <w:rPr>
                <w:sz w:val="16"/>
              </w:rPr>
              <w:t>H10 Retention Has Boundaries</w:t>
            </w:r>
          </w:p>
        </w:tc>
        <w:tc>
          <w:tcPr>
            <w:tcW w:type="dxa" w:w="3360"/>
            <w:vAlign w:val="top"/>
            <w:tcMar>
              <w:top w:w="70" w:type="dxa"/>
              <w:start w:w="80" w:type="dxa"/>
              <w:bottom w:w="70" w:type="dxa"/>
              <w:end w:w="80" w:type="dxa"/>
            </w:tcMar>
          </w:tcPr>
          <w:p>
            <w:pPr>
              <w:spacing w:after="0"/>
            </w:pPr>
            <w:r>
              <w:rPr>
                <w:sz w:val="16"/>
              </w:rPr>
              <w:t>SUPPORTED / CRITICAL SAFEGUARD</w:t>
            </w:r>
          </w:p>
        </w:tc>
        <w:tc>
          <w:tcPr>
            <w:tcW w:type="dxa" w:w="3360"/>
            <w:vAlign w:val="top"/>
            <w:tcMar>
              <w:top w:w="70" w:type="dxa"/>
              <w:start w:w="80" w:type="dxa"/>
              <w:bottom w:w="70" w:type="dxa"/>
              <w:end w:w="80" w:type="dxa"/>
            </w:tcMar>
          </w:tcPr>
          <w:p>
            <w:pPr>
              <w:spacing w:after="0"/>
            </w:pPr>
            <w:r>
              <w:rPr>
                <w:sz w:val="16"/>
              </w:rPr>
              <w:t>Pathways may increase employability and external mobility; retention alone is an insufficient success criterion.</w:t>
            </w:r>
          </w:p>
        </w:tc>
      </w:tr>
    </w:tbl>
    <w:p>
      <w:pPr>
        <w:pStyle w:val="Heading1"/>
      </w:pPr>
      <w:r>
        <w:t>9. Current External Evidence Foundation</w:t>
      </w:r>
    </w:p>
    <w:p>
      <w:r>
        <w:t>The initial evidence base is intentionally diverse: labor-market statistics, meta-analyses of career adaptability and job embeddedness, large-scale internal-mobility research, quasi-experimental apprenticeship evidence, and administrative-data studies of community-college credentials. These sources establish several foundations while also showing where the pathway thesis can fail.</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0B3A53"/>
            <w:vAlign w:val="center"/>
            <w:tcMar>
              <w:top w:w="70" w:type="dxa"/>
              <w:start w:w="80" w:type="dxa"/>
              <w:bottom w:w="70" w:type="dxa"/>
              <w:end w:w="80" w:type="dxa"/>
            </w:tcMar>
          </w:tcPr>
          <w:p>
            <w:r>
              <w:rPr>
                <w:b/>
                <w:color w:val="FFFFFF"/>
                <w:sz w:val="15"/>
              </w:rPr>
              <w:t>Anchor source</w:t>
            </w:r>
          </w:p>
        </w:tc>
        <w:tc>
          <w:tcPr>
            <w:tcW w:type="dxa" w:w="2520"/>
            <w:shd w:fill="0B3A53"/>
            <w:vAlign w:val="center"/>
            <w:tcMar>
              <w:top w:w="70" w:type="dxa"/>
              <w:start w:w="80" w:type="dxa"/>
              <w:bottom w:w="70" w:type="dxa"/>
              <w:end w:w="80" w:type="dxa"/>
            </w:tcMar>
          </w:tcPr>
          <w:p>
            <w:r>
              <w:rPr>
                <w:b/>
                <w:color w:val="FFFFFF"/>
                <w:sz w:val="15"/>
              </w:rPr>
              <w:t>Evidence type / scale</w:t>
            </w:r>
          </w:p>
        </w:tc>
        <w:tc>
          <w:tcPr>
            <w:tcW w:type="dxa" w:w="2520"/>
            <w:shd w:fill="0B3A53"/>
            <w:vAlign w:val="center"/>
            <w:tcMar>
              <w:top w:w="70" w:type="dxa"/>
              <w:start w:w="80" w:type="dxa"/>
              <w:bottom w:w="70" w:type="dxa"/>
              <w:end w:w="80" w:type="dxa"/>
            </w:tcMar>
          </w:tcPr>
          <w:p>
            <w:r>
              <w:rPr>
                <w:b/>
                <w:color w:val="FFFFFF"/>
                <w:sz w:val="15"/>
              </w:rPr>
              <w:t>Contribution to Study #006</w:t>
            </w:r>
          </w:p>
        </w:tc>
        <w:tc>
          <w:tcPr>
            <w:tcW w:type="dxa" w:w="2520"/>
            <w:shd w:fill="0B3A53"/>
            <w:vAlign w:val="center"/>
            <w:tcMar>
              <w:top w:w="70" w:type="dxa"/>
              <w:start w:w="80" w:type="dxa"/>
              <w:bottom w:w="70" w:type="dxa"/>
              <w:end w:w="80" w:type="dxa"/>
            </w:tcMar>
          </w:tcPr>
          <w:p>
            <w:r>
              <w:rPr>
                <w:b/>
                <w:color w:val="FFFFFF"/>
                <w:sz w:val="15"/>
              </w:rPr>
              <w:t>Disproof / limitation value</w:t>
            </w:r>
          </w:p>
        </w:tc>
      </w:tr>
      <w:tr>
        <w:tc>
          <w:tcPr>
            <w:tcW w:type="dxa" w:w="2520"/>
            <w:vAlign w:val="top"/>
            <w:tcMar>
              <w:top w:w="70" w:type="dxa"/>
              <w:start w:w="80" w:type="dxa"/>
              <w:bottom w:w="70" w:type="dxa"/>
              <w:end w:w="80" w:type="dxa"/>
            </w:tcMar>
          </w:tcPr>
          <w:p>
            <w:pPr>
              <w:spacing w:after="0"/>
            </w:pPr>
            <w:r>
              <w:rPr>
                <w:sz w:val="15"/>
              </w:rPr>
              <w:t>U.S. Bureau of Labor Statistics, Customer Service Representatives, 2026 update</w:t>
            </w:r>
          </w:p>
        </w:tc>
        <w:tc>
          <w:tcPr>
            <w:tcW w:type="dxa" w:w="2520"/>
            <w:vAlign w:val="top"/>
            <w:tcMar>
              <w:top w:w="70" w:type="dxa"/>
              <w:start w:w="80" w:type="dxa"/>
              <w:bottom w:w="70" w:type="dxa"/>
              <w:end w:w="80" w:type="dxa"/>
            </w:tcMar>
          </w:tcPr>
          <w:p>
            <w:pPr>
              <w:spacing w:after="0"/>
            </w:pPr>
            <w:r>
              <w:rPr>
                <w:sz w:val="15"/>
              </w:rPr>
              <w:t>Federal labor-market data; 2.666M CSR jobs in 2025</w:t>
            </w:r>
          </w:p>
        </w:tc>
        <w:tc>
          <w:tcPr>
            <w:tcW w:type="dxa" w:w="2520"/>
            <w:vAlign w:val="top"/>
            <w:tcMar>
              <w:top w:w="70" w:type="dxa"/>
              <w:start w:w="80" w:type="dxa"/>
              <w:bottom w:w="70" w:type="dxa"/>
              <w:end w:w="80" w:type="dxa"/>
            </w:tcMar>
          </w:tcPr>
          <w:p>
            <w:pPr>
              <w:spacing w:after="0"/>
            </w:pPr>
            <w:r>
              <w:rPr>
                <w:sz w:val="15"/>
              </w:rPr>
              <w:t>CSR employment projected -5% from 2025–35 but about 289,500 openings/year from replacement/exit; strengthens need to distinguish entry opportunity from long-term pathway value.</w:t>
            </w:r>
          </w:p>
        </w:tc>
        <w:tc>
          <w:tcPr>
            <w:tcW w:type="dxa" w:w="2520"/>
            <w:vAlign w:val="top"/>
            <w:tcMar>
              <w:top w:w="70" w:type="dxa"/>
              <w:start w:w="80" w:type="dxa"/>
              <w:bottom w:w="70" w:type="dxa"/>
              <w:end w:w="80" w:type="dxa"/>
            </w:tcMar>
          </w:tcPr>
          <w:p>
            <w:pPr>
              <w:spacing w:after="0"/>
            </w:pPr>
            <w:r>
              <w:rPr>
                <w:sz w:val="15"/>
              </w:rPr>
              <w:t>Declining occupation size means a pathway cannot depend on indefinite growth in traditional CSR roles.</w:t>
            </w:r>
          </w:p>
        </w:tc>
      </w:tr>
      <w:tr>
        <w:tc>
          <w:tcPr>
            <w:tcW w:type="dxa" w:w="2520"/>
            <w:vAlign w:val="top"/>
            <w:tcMar>
              <w:top w:w="70" w:type="dxa"/>
              <w:start w:w="80" w:type="dxa"/>
              <w:bottom w:w="70" w:type="dxa"/>
              <w:end w:w="80" w:type="dxa"/>
            </w:tcMar>
          </w:tcPr>
          <w:p>
            <w:pPr>
              <w:spacing w:after="0"/>
            </w:pPr>
            <w:r>
              <w:rPr>
                <w:sz w:val="15"/>
              </w:rPr>
              <w:t>Rudolph, Lavigne &amp; Zacher (2017), Journal of Vocational Behavior</w:t>
            </w:r>
          </w:p>
        </w:tc>
        <w:tc>
          <w:tcPr>
            <w:tcW w:type="dxa" w:w="2520"/>
            <w:vAlign w:val="top"/>
            <w:tcMar>
              <w:top w:w="70" w:type="dxa"/>
              <w:start w:w="80" w:type="dxa"/>
              <w:bottom w:w="70" w:type="dxa"/>
              <w:end w:w="80" w:type="dxa"/>
            </w:tcMar>
          </w:tcPr>
          <w:p>
            <w:pPr>
              <w:spacing w:after="0"/>
            </w:pPr>
            <w:r>
              <w:rPr>
                <w:sz w:val="15"/>
              </w:rPr>
              <w:t>Meta-analysis; 90 studies</w:t>
            </w:r>
          </w:p>
        </w:tc>
        <w:tc>
          <w:tcPr>
            <w:tcW w:type="dxa" w:w="2520"/>
            <w:vAlign w:val="top"/>
            <w:tcMar>
              <w:top w:w="70" w:type="dxa"/>
              <w:start w:w="80" w:type="dxa"/>
              <w:bottom w:w="70" w:type="dxa"/>
              <w:end w:w="80" w:type="dxa"/>
            </w:tcMar>
          </w:tcPr>
          <w:p>
            <w:pPr>
              <w:spacing w:after="0"/>
            </w:pPr>
            <w:r>
              <w:rPr>
                <w:sz w:val="15"/>
              </w:rPr>
              <w:t>Career adaptability related to planning, exploration, employability, promotability, turnover intentions, income, satisfaction and other adaptation outcomes.</w:t>
            </w:r>
          </w:p>
        </w:tc>
        <w:tc>
          <w:tcPr>
            <w:tcW w:type="dxa" w:w="2520"/>
            <w:vAlign w:val="top"/>
            <w:tcMar>
              <w:top w:w="70" w:type="dxa"/>
              <w:start w:w="80" w:type="dxa"/>
              <w:bottom w:w="70" w:type="dxa"/>
              <w:end w:w="80" w:type="dxa"/>
            </w:tcMar>
          </w:tcPr>
          <w:p>
            <w:pPr>
              <w:spacing w:after="0"/>
            </w:pPr>
            <w:r>
              <w:rPr>
                <w:sz w:val="15"/>
              </w:rPr>
              <w:t>Individual adaptability cannot prove employer opportunity or credential value.</w:t>
            </w:r>
          </w:p>
        </w:tc>
      </w:tr>
      <w:tr>
        <w:tc>
          <w:tcPr>
            <w:tcW w:type="dxa" w:w="2520"/>
            <w:vAlign w:val="top"/>
            <w:tcMar>
              <w:top w:w="70" w:type="dxa"/>
              <w:start w:w="80" w:type="dxa"/>
              <w:bottom w:w="70" w:type="dxa"/>
              <w:end w:w="80" w:type="dxa"/>
            </w:tcMar>
          </w:tcPr>
          <w:p>
            <w:pPr>
              <w:spacing w:after="0"/>
            </w:pPr>
            <w:r>
              <w:rPr>
                <w:sz w:val="15"/>
              </w:rPr>
              <w:t>Rudolph et al. (2017), Journal of Vocational Behavior</w:t>
            </w:r>
          </w:p>
        </w:tc>
        <w:tc>
          <w:tcPr>
            <w:tcW w:type="dxa" w:w="2520"/>
            <w:vAlign w:val="top"/>
            <w:tcMar>
              <w:top w:w="70" w:type="dxa"/>
              <w:start w:w="80" w:type="dxa"/>
              <w:bottom w:w="70" w:type="dxa"/>
              <w:end w:w="80" w:type="dxa"/>
            </w:tcMar>
          </w:tcPr>
          <w:p>
            <w:pPr>
              <w:spacing w:after="0"/>
            </w:pPr>
            <w:r>
              <w:rPr>
                <w:sz w:val="15"/>
              </w:rPr>
              <w:t>Dimension-level meta-analysis; 76 studies</w:t>
            </w:r>
          </w:p>
        </w:tc>
        <w:tc>
          <w:tcPr>
            <w:tcW w:type="dxa" w:w="2520"/>
            <w:vAlign w:val="top"/>
            <w:tcMar>
              <w:top w:w="70" w:type="dxa"/>
              <w:start w:w="80" w:type="dxa"/>
              <w:bottom w:w="70" w:type="dxa"/>
              <w:end w:w="80" w:type="dxa"/>
            </w:tcMar>
          </w:tcPr>
          <w:p>
            <w:pPr>
              <w:spacing w:after="0"/>
            </w:pPr>
            <w:r>
              <w:rPr>
                <w:sz w:val="15"/>
              </w:rPr>
              <w:t>Supports four-factor career-adaptability structure and dimension-specific outcome relationships.</w:t>
            </w:r>
          </w:p>
        </w:tc>
        <w:tc>
          <w:tcPr>
            <w:tcW w:type="dxa" w:w="2520"/>
            <w:vAlign w:val="top"/>
            <w:tcMar>
              <w:top w:w="70" w:type="dxa"/>
              <w:start w:w="80" w:type="dxa"/>
              <w:bottom w:w="70" w:type="dxa"/>
              <w:end w:w="80" w:type="dxa"/>
            </w:tcMar>
          </w:tcPr>
          <w:p>
            <w:pPr>
              <w:spacing w:after="0"/>
            </w:pPr>
            <w:r>
              <w:rPr>
                <w:sz w:val="15"/>
              </w:rPr>
              <w:t>Warns against collapsing all career agency into one score.</w:t>
            </w:r>
          </w:p>
        </w:tc>
      </w:tr>
      <w:tr>
        <w:tc>
          <w:tcPr>
            <w:tcW w:type="dxa" w:w="2520"/>
            <w:vAlign w:val="top"/>
            <w:tcMar>
              <w:top w:w="70" w:type="dxa"/>
              <w:start w:w="80" w:type="dxa"/>
              <w:bottom w:w="70" w:type="dxa"/>
              <w:end w:w="80" w:type="dxa"/>
            </w:tcMar>
          </w:tcPr>
          <w:p>
            <w:pPr>
              <w:spacing w:after="0"/>
            </w:pPr>
            <w:r>
              <w:rPr>
                <w:sz w:val="15"/>
              </w:rPr>
              <w:t>Jiang et al. (2012), Journal of Applied Psychology</w:t>
            </w:r>
          </w:p>
        </w:tc>
        <w:tc>
          <w:tcPr>
            <w:tcW w:type="dxa" w:w="2520"/>
            <w:vAlign w:val="top"/>
            <w:tcMar>
              <w:top w:w="70" w:type="dxa"/>
              <w:start w:w="80" w:type="dxa"/>
              <w:bottom w:w="70" w:type="dxa"/>
              <w:end w:w="80" w:type="dxa"/>
            </w:tcMar>
          </w:tcPr>
          <w:p>
            <w:pPr>
              <w:spacing w:after="0"/>
            </w:pPr>
            <w:r>
              <w:rPr>
                <w:sz w:val="15"/>
              </w:rPr>
              <w:t>Meta-analysis; 65 samples, N=42,907</w:t>
            </w:r>
          </w:p>
        </w:tc>
        <w:tc>
          <w:tcPr>
            <w:tcW w:type="dxa" w:w="2520"/>
            <w:vAlign w:val="top"/>
            <w:tcMar>
              <w:top w:w="70" w:type="dxa"/>
              <w:start w:w="80" w:type="dxa"/>
              <w:bottom w:w="70" w:type="dxa"/>
              <w:end w:w="80" w:type="dxa"/>
            </w:tcMar>
          </w:tcPr>
          <w:p>
            <w:pPr>
              <w:spacing w:after="0"/>
            </w:pPr>
            <w:r>
              <w:rPr>
                <w:sz w:val="15"/>
              </w:rPr>
              <w:t>Job embeddedness predicts turnover intentions and actual turnover beyond satisfaction, commitment and alternatives.</w:t>
            </w:r>
          </w:p>
        </w:tc>
        <w:tc>
          <w:tcPr>
            <w:tcW w:type="dxa" w:w="2520"/>
            <w:vAlign w:val="top"/>
            <w:tcMar>
              <w:top w:w="70" w:type="dxa"/>
              <w:start w:w="80" w:type="dxa"/>
              <w:bottom w:w="70" w:type="dxa"/>
              <w:end w:w="80" w:type="dxa"/>
            </w:tcMar>
          </w:tcPr>
          <w:p>
            <w:pPr>
              <w:spacing w:after="0"/>
            </w:pPr>
            <w:r>
              <w:rPr>
                <w:sz w:val="15"/>
              </w:rPr>
              <w:t>Retention is multifactorial; career opportunity is only one possible mechanism.</w:t>
            </w:r>
          </w:p>
        </w:tc>
      </w:tr>
      <w:tr>
        <w:tc>
          <w:tcPr>
            <w:tcW w:type="dxa" w:w="2520"/>
            <w:vAlign w:val="top"/>
            <w:tcMar>
              <w:top w:w="70" w:type="dxa"/>
              <w:start w:w="80" w:type="dxa"/>
              <w:bottom w:w="70" w:type="dxa"/>
              <w:end w:w="80" w:type="dxa"/>
            </w:tcMar>
          </w:tcPr>
          <w:p>
            <w:pPr>
              <w:spacing w:after="0"/>
            </w:pPr>
            <w:r>
              <w:rPr>
                <w:sz w:val="15"/>
              </w:rPr>
              <w:t>Benson &amp; Rissing (2020), Organization Science</w:t>
            </w:r>
          </w:p>
        </w:tc>
        <w:tc>
          <w:tcPr>
            <w:tcW w:type="dxa" w:w="2520"/>
            <w:vAlign w:val="top"/>
            <w:tcMar>
              <w:top w:w="70" w:type="dxa"/>
              <w:start w:w="80" w:type="dxa"/>
              <w:bottom w:w="70" w:type="dxa"/>
              <w:end w:w="80" w:type="dxa"/>
            </w:tcMar>
          </w:tcPr>
          <w:p>
            <w:pPr>
              <w:spacing w:after="0"/>
            </w:pPr>
            <w:r>
              <w:rPr>
                <w:sz w:val="15"/>
              </w:rPr>
              <w:t>Large employer data; 109,063 salespeople and 12,931 managers</w:t>
            </w:r>
          </w:p>
        </w:tc>
        <w:tc>
          <w:tcPr>
            <w:tcW w:type="dxa" w:w="2520"/>
            <w:vAlign w:val="top"/>
            <w:tcMar>
              <w:top w:w="70" w:type="dxa"/>
              <w:start w:w="80" w:type="dxa"/>
              <w:bottom w:w="70" w:type="dxa"/>
              <w:end w:w="80" w:type="dxa"/>
            </w:tcMar>
          </w:tcPr>
          <w:p>
            <w:pPr>
              <w:spacing w:after="0"/>
            </w:pPr>
            <w:r>
              <w:rPr>
                <w:sz w:val="15"/>
              </w:rPr>
              <w:t>Internal hires and high-performing internal hires were less likely to quit; demonstrates potential retention value of internal advancement.</w:t>
            </w:r>
          </w:p>
        </w:tc>
        <w:tc>
          <w:tcPr>
            <w:tcW w:type="dxa" w:w="2520"/>
            <w:vAlign w:val="top"/>
            <w:tcMar>
              <w:top w:w="70" w:type="dxa"/>
              <w:start w:w="80" w:type="dxa"/>
              <w:bottom w:w="70" w:type="dxa"/>
              <w:end w:w="80" w:type="dxa"/>
            </w:tcMar>
          </w:tcPr>
          <w:p>
            <w:pPr>
              <w:spacing w:after="0"/>
            </w:pPr>
            <w:r>
              <w:rPr>
                <w:sz w:val="15"/>
              </w:rPr>
              <w:t>Single large organizational setting; internal mobility may not generalize to contact centers or lower performers.</w:t>
            </w:r>
          </w:p>
        </w:tc>
      </w:tr>
      <w:tr>
        <w:tc>
          <w:tcPr>
            <w:tcW w:type="dxa" w:w="2520"/>
            <w:vAlign w:val="top"/>
            <w:tcMar>
              <w:top w:w="70" w:type="dxa"/>
              <w:start w:w="80" w:type="dxa"/>
              <w:bottom w:w="70" w:type="dxa"/>
              <w:end w:w="80" w:type="dxa"/>
            </w:tcMar>
          </w:tcPr>
          <w:p>
            <w:pPr>
              <w:spacing w:after="0"/>
            </w:pPr>
            <w:r>
              <w:rPr>
                <w:sz w:val="15"/>
              </w:rPr>
              <w:t>U.S. Department of Labor / Urban Institute (2025), apprenticeship impact evaluation</w:t>
            </w:r>
          </w:p>
        </w:tc>
        <w:tc>
          <w:tcPr>
            <w:tcW w:type="dxa" w:w="2520"/>
            <w:vAlign w:val="top"/>
            <w:tcMar>
              <w:top w:w="70" w:type="dxa"/>
              <w:start w:w="80" w:type="dxa"/>
              <w:bottom w:w="70" w:type="dxa"/>
              <w:end w:w="80" w:type="dxa"/>
            </w:tcMar>
          </w:tcPr>
          <w:p>
            <w:pPr>
              <w:spacing w:after="0"/>
            </w:pPr>
            <w:r>
              <w:rPr>
                <w:sz w:val="15"/>
              </w:rPr>
              <w:t>Quasi-experimental evaluation</w:t>
            </w:r>
          </w:p>
        </w:tc>
        <w:tc>
          <w:tcPr>
            <w:tcW w:type="dxa" w:w="2520"/>
            <w:vAlign w:val="top"/>
            <w:tcMar>
              <w:top w:w="70" w:type="dxa"/>
              <w:start w:w="80" w:type="dxa"/>
              <w:bottom w:w="70" w:type="dxa"/>
              <w:end w:w="80" w:type="dxa"/>
            </w:tcMar>
          </w:tcPr>
          <w:p>
            <w:pPr>
              <w:spacing w:after="0"/>
            </w:pPr>
            <w:r>
              <w:rPr>
                <w:sz w:val="15"/>
              </w:rPr>
              <w:t>Registered apprenticeship produced statistically significant employment and earnings gains relative to comparison groups; work-based pathways can create measurable economic value.</w:t>
            </w:r>
          </w:p>
        </w:tc>
        <w:tc>
          <w:tcPr>
            <w:tcW w:type="dxa" w:w="2520"/>
            <w:vAlign w:val="top"/>
            <w:tcMar>
              <w:top w:w="70" w:type="dxa"/>
              <w:start w:w="80" w:type="dxa"/>
              <w:bottom w:w="70" w:type="dxa"/>
              <w:end w:w="80" w:type="dxa"/>
            </w:tcMar>
          </w:tcPr>
          <w:p>
            <w:pPr>
              <w:spacing w:after="0"/>
            </w:pPr>
            <w:r>
              <w:rPr>
                <w:sz w:val="15"/>
              </w:rPr>
              <w:t>Evidence is not contact-center-specific; program design and occupation matter.</w:t>
            </w:r>
          </w:p>
        </w:tc>
      </w:tr>
      <w:tr>
        <w:tc>
          <w:tcPr>
            <w:tcW w:type="dxa" w:w="2520"/>
            <w:vAlign w:val="top"/>
            <w:tcMar>
              <w:top w:w="70" w:type="dxa"/>
              <w:start w:w="80" w:type="dxa"/>
              <w:bottom w:w="70" w:type="dxa"/>
              <w:end w:w="80" w:type="dxa"/>
            </w:tcMar>
          </w:tcPr>
          <w:p>
            <w:pPr>
              <w:spacing w:after="0"/>
            </w:pPr>
            <w:r>
              <w:rPr>
                <w:sz w:val="15"/>
              </w:rPr>
              <w:t>Liu, Belfield &amp; Trimble (2015), Economics of Education Review</w:t>
            </w:r>
          </w:p>
        </w:tc>
        <w:tc>
          <w:tcPr>
            <w:tcW w:type="dxa" w:w="2520"/>
            <w:vAlign w:val="top"/>
            <w:tcMar>
              <w:top w:w="70" w:type="dxa"/>
              <w:start w:w="80" w:type="dxa"/>
              <w:bottom w:w="70" w:type="dxa"/>
              <w:end w:w="80" w:type="dxa"/>
            </w:tcMar>
          </w:tcPr>
          <w:p>
            <w:pPr>
              <w:spacing w:after="0"/>
            </w:pPr>
            <w:r>
              <w:rPr>
                <w:sz w:val="15"/>
              </w:rPr>
              <w:t>North Carolina administrative + earnings data</w:t>
            </w:r>
          </w:p>
        </w:tc>
        <w:tc>
          <w:tcPr>
            <w:tcW w:type="dxa" w:w="2520"/>
            <w:vAlign w:val="top"/>
            <w:tcMar>
              <w:top w:w="70" w:type="dxa"/>
              <w:start w:w="80" w:type="dxa"/>
              <w:bottom w:w="70" w:type="dxa"/>
              <w:end w:w="80" w:type="dxa"/>
            </w:tcMar>
          </w:tcPr>
          <w:p>
            <w:pPr>
              <w:spacing w:after="0"/>
            </w:pPr>
            <w:r>
              <w:rPr>
                <w:sz w:val="15"/>
              </w:rPr>
              <w:t>Community-college returns varied sharply by award and field; associate/health credentials strong, some certificates weaker.</w:t>
            </w:r>
          </w:p>
        </w:tc>
        <w:tc>
          <w:tcPr>
            <w:tcW w:type="dxa" w:w="2520"/>
            <w:vAlign w:val="top"/>
            <w:tcMar>
              <w:top w:w="70" w:type="dxa"/>
              <w:start w:w="80" w:type="dxa"/>
              <w:bottom w:w="70" w:type="dxa"/>
              <w:end w:w="80" w:type="dxa"/>
            </w:tcMar>
          </w:tcPr>
          <w:p>
            <w:pPr>
              <w:spacing w:after="0"/>
            </w:pPr>
            <w:r>
              <w:rPr>
                <w:sz w:val="15"/>
              </w:rPr>
              <w:t>Direct warning that 'credential' does not equal economic value.</w:t>
            </w:r>
          </w:p>
        </w:tc>
      </w:tr>
      <w:tr>
        <w:tc>
          <w:tcPr>
            <w:tcW w:type="dxa" w:w="2520"/>
            <w:vAlign w:val="top"/>
            <w:tcMar>
              <w:top w:w="70" w:type="dxa"/>
              <w:start w:w="80" w:type="dxa"/>
              <w:bottom w:w="70" w:type="dxa"/>
              <w:end w:w="80" w:type="dxa"/>
            </w:tcMar>
          </w:tcPr>
          <w:p>
            <w:pPr>
              <w:spacing w:after="0"/>
            </w:pPr>
            <w:r>
              <w:rPr>
                <w:sz w:val="15"/>
              </w:rPr>
              <w:t>Xu &amp; Trimble (2016), Educational Evaluation and Policy Analysis</w:t>
            </w:r>
          </w:p>
        </w:tc>
        <w:tc>
          <w:tcPr>
            <w:tcW w:type="dxa" w:w="2520"/>
            <w:vAlign w:val="top"/>
            <w:tcMar>
              <w:top w:w="70" w:type="dxa"/>
              <w:start w:w="80" w:type="dxa"/>
              <w:bottom w:w="70" w:type="dxa"/>
              <w:end w:w="80" w:type="dxa"/>
            </w:tcMar>
          </w:tcPr>
          <w:p>
            <w:pPr>
              <w:spacing w:after="0"/>
            </w:pPr>
            <w:r>
              <w:rPr>
                <w:sz w:val="15"/>
              </w:rPr>
              <w:t>Administrative data; North Carolina and Virginia</w:t>
            </w:r>
          </w:p>
        </w:tc>
        <w:tc>
          <w:tcPr>
            <w:tcW w:type="dxa" w:w="2520"/>
            <w:vAlign w:val="top"/>
            <w:tcMar>
              <w:top w:w="70" w:type="dxa"/>
              <w:start w:w="80" w:type="dxa"/>
              <w:bottom w:w="70" w:type="dxa"/>
              <w:end w:w="80" w:type="dxa"/>
            </w:tcMar>
          </w:tcPr>
          <w:p>
            <w:pPr>
              <w:spacing w:after="0"/>
            </w:pPr>
            <w:r>
              <w:rPr>
                <w:sz w:val="15"/>
              </w:rPr>
              <w:t>Certificate returns varied by state, length and employment outcome.</w:t>
            </w:r>
          </w:p>
        </w:tc>
        <w:tc>
          <w:tcPr>
            <w:tcW w:type="dxa" w:w="2520"/>
            <w:vAlign w:val="top"/>
            <w:tcMar>
              <w:top w:w="70" w:type="dxa"/>
              <w:start w:w="80" w:type="dxa"/>
              <w:bottom w:w="70" w:type="dxa"/>
              <w:end w:w="80" w:type="dxa"/>
            </w:tcMar>
          </w:tcPr>
          <w:p>
            <w:pPr>
              <w:spacing w:after="0"/>
            </w:pPr>
            <w:r>
              <w:rPr>
                <w:sz w:val="15"/>
              </w:rPr>
              <w:t>Shows geographic and program heterogeneity; short-term credentials require field-level validation.</w:t>
            </w:r>
          </w:p>
        </w:tc>
      </w:tr>
      <w:tr>
        <w:tc>
          <w:tcPr>
            <w:tcW w:type="dxa" w:w="2520"/>
            <w:vAlign w:val="top"/>
            <w:tcMar>
              <w:top w:w="70" w:type="dxa"/>
              <w:start w:w="80" w:type="dxa"/>
              <w:bottom w:w="70" w:type="dxa"/>
              <w:end w:w="80" w:type="dxa"/>
            </w:tcMar>
          </w:tcPr>
          <w:p>
            <w:pPr>
              <w:spacing w:after="0"/>
            </w:pPr>
            <w:r>
              <w:rPr>
                <w:sz w:val="15"/>
              </w:rPr>
              <w:t>Journal of Public Economics (2026), Noncredit workforce training and industry credentials</w:t>
            </w:r>
          </w:p>
        </w:tc>
        <w:tc>
          <w:tcPr>
            <w:tcW w:type="dxa" w:w="2520"/>
            <w:vAlign w:val="top"/>
            <w:tcMar>
              <w:top w:w="70" w:type="dxa"/>
              <w:start w:w="80" w:type="dxa"/>
              <w:bottom w:w="70" w:type="dxa"/>
              <w:end w:w="80" w:type="dxa"/>
            </w:tcMar>
          </w:tcPr>
          <w:p>
            <w:pPr>
              <w:spacing w:after="0"/>
            </w:pPr>
            <w:r>
              <w:rPr>
                <w:sz w:val="15"/>
              </w:rPr>
              <w:t>Quasi-experimental administrative data, Virginia community colleges</w:t>
            </w:r>
          </w:p>
        </w:tc>
        <w:tc>
          <w:tcPr>
            <w:tcW w:type="dxa" w:w="2520"/>
            <w:vAlign w:val="top"/>
            <w:tcMar>
              <w:top w:w="70" w:type="dxa"/>
              <w:start w:w="80" w:type="dxa"/>
              <w:bottom w:w="70" w:type="dxa"/>
              <w:end w:w="80" w:type="dxa"/>
            </w:tcMar>
          </w:tcPr>
          <w:p>
            <w:pPr>
              <w:spacing w:after="0"/>
            </w:pPr>
            <w:r>
              <w:rPr>
                <w:sz w:val="15"/>
              </w:rPr>
              <w:t>Industry-recognized credential attainment associated with about $818 higher conditional quarterly earnings and mobility into higher-paying sectors.</w:t>
            </w:r>
          </w:p>
        </w:tc>
        <w:tc>
          <w:tcPr>
            <w:tcW w:type="dxa" w:w="2520"/>
            <w:vAlign w:val="top"/>
            <w:tcMar>
              <w:top w:w="70" w:type="dxa"/>
              <w:start w:w="80" w:type="dxa"/>
              <w:bottom w:w="70" w:type="dxa"/>
              <w:end w:w="80" w:type="dxa"/>
            </w:tcMar>
          </w:tcPr>
          <w:p>
            <w:pPr>
              <w:spacing w:after="0"/>
            </w:pPr>
            <w:r>
              <w:rPr>
                <w:sz w:val="15"/>
              </w:rPr>
              <w:t>Value appears tied to recognized credential attainment, not training participation alone.</w:t>
            </w:r>
          </w:p>
        </w:tc>
      </w:tr>
      <w:tr>
        <w:tc>
          <w:tcPr>
            <w:tcW w:type="dxa" w:w="2520"/>
            <w:vAlign w:val="top"/>
            <w:tcMar>
              <w:top w:w="70" w:type="dxa"/>
              <w:start w:w="80" w:type="dxa"/>
              <w:bottom w:w="70" w:type="dxa"/>
              <w:end w:w="80" w:type="dxa"/>
            </w:tcMar>
          </w:tcPr>
          <w:p>
            <w:pPr>
              <w:spacing w:after="0"/>
            </w:pPr>
            <w:r>
              <w:rPr>
                <w:sz w:val="15"/>
              </w:rPr>
              <w:t>Association of Community College Trustees, Value of Short-Term Credentials</w:t>
            </w:r>
          </w:p>
        </w:tc>
        <w:tc>
          <w:tcPr>
            <w:tcW w:type="dxa" w:w="2520"/>
            <w:vAlign w:val="top"/>
            <w:tcMar>
              <w:top w:w="70" w:type="dxa"/>
              <w:start w:w="80" w:type="dxa"/>
              <w:bottom w:w="70" w:type="dxa"/>
              <w:end w:w="80" w:type="dxa"/>
            </w:tcMar>
          </w:tcPr>
          <w:p>
            <w:pPr>
              <w:spacing w:after="0"/>
            </w:pPr>
            <w:r>
              <w:rPr>
                <w:sz w:val="15"/>
              </w:rPr>
              <w:t>Multi-state applied research and literature review</w:t>
            </w:r>
          </w:p>
        </w:tc>
        <w:tc>
          <w:tcPr>
            <w:tcW w:type="dxa" w:w="2520"/>
            <w:vAlign w:val="top"/>
            <w:tcMar>
              <w:top w:w="70" w:type="dxa"/>
              <w:start w:w="80" w:type="dxa"/>
              <w:bottom w:w="70" w:type="dxa"/>
              <w:end w:w="80" w:type="dxa"/>
            </w:tcMar>
          </w:tcPr>
          <w:p>
            <w:pPr>
              <w:spacing w:after="0"/>
            </w:pPr>
            <w:r>
              <w:rPr>
                <w:sz w:val="15"/>
              </w:rPr>
              <w:t>Supports employer alignment, stackability, student supports and outcome data as design principles.</w:t>
            </w:r>
          </w:p>
        </w:tc>
        <w:tc>
          <w:tcPr>
            <w:tcW w:type="dxa" w:w="2520"/>
            <w:vAlign w:val="top"/>
            <w:tcMar>
              <w:top w:w="70" w:type="dxa"/>
              <w:start w:w="80" w:type="dxa"/>
              <w:bottom w:w="70" w:type="dxa"/>
              <w:end w:w="80" w:type="dxa"/>
            </w:tcMar>
          </w:tcPr>
          <w:p>
            <w:pPr>
              <w:spacing w:after="0"/>
            </w:pPr>
            <w:r>
              <w:rPr>
                <w:sz w:val="15"/>
              </w:rPr>
              <w:t>Applied/policy evidence; cannot replace causal evaluation of a ResolveCX credential/pathway.</w:t>
            </w:r>
          </w:p>
        </w:tc>
      </w:tr>
    </w:tbl>
    <w:p>
      <w:pPr>
        <w:pStyle w:val="Heading1"/>
      </w:pPr>
      <w:r>
        <w:t>10. Critical Disconfirmation Questions</w:t>
      </w:r>
    </w:p>
    <w:p>
      <w:pPr>
        <w:pStyle w:val="ListBullet"/>
        <w:spacing w:after="30"/>
      </w:pPr>
      <w:r>
        <w:t>Do frontline employees who can see a pathway actually progress more often, or do they simply feel more optimistic?</w:t>
      </w:r>
    </w:p>
    <w:p>
      <w:pPr>
        <w:pStyle w:val="ListBullet"/>
        <w:spacing w:after="30"/>
      </w:pPr>
      <w:r>
        <w:t>Does internal mobility improve retention because of the move itself, or because stronger employees are more likely to receive opportunities?</w:t>
      </w:r>
    </w:p>
    <w:p>
      <w:pPr>
        <w:pStyle w:val="ListBullet"/>
        <w:spacing w:after="30"/>
      </w:pPr>
      <w:r>
        <w:t>Does a ResolveCX-aligned credential create earnings or mobility value beyond simply obtaining employment?</w:t>
      </w:r>
    </w:p>
    <w:p>
      <w:pPr>
        <w:pStyle w:val="ListBullet"/>
        <w:spacing w:after="30"/>
      </w:pPr>
      <w:r>
        <w:t>Would employers hire, interview, promote, or pay differently based on the pathway—or merely endorse it verbally?</w:t>
      </w:r>
    </w:p>
    <w:p>
      <w:pPr>
        <w:pStyle w:val="ListBullet"/>
        <w:spacing w:after="30"/>
      </w:pPr>
      <w:r>
        <w:t>Does the pathway create portable value if a participant leaves the original employer?</w:t>
      </w:r>
    </w:p>
    <w:p>
      <w:pPr>
        <w:pStyle w:val="ListBullet"/>
        <w:spacing w:after="30"/>
      </w:pPr>
      <w:r>
        <w:t>Are progression opportunities numerous enough for the pathway promise to be credible at scale?</w:t>
      </w:r>
    </w:p>
    <w:p>
      <w:pPr>
        <w:pStyle w:val="ListBullet"/>
        <w:spacing w:after="30"/>
      </w:pPr>
      <w:r>
        <w:t>Do schedule, caregiving, transportation, digital access, education requirements, or informal sponsorship make the pathway inaccessible to intended participants?</w:t>
      </w:r>
    </w:p>
    <w:p>
      <w:pPr>
        <w:pStyle w:val="ListBullet"/>
        <w:spacing w:after="30"/>
      </w:pPr>
      <w:r>
        <w:t>Could stronger career agency increase external turnover rather than retention—and if so, is that a failure or a positive mobility outcome?</w:t>
      </w:r>
    </w:p>
    <w:p>
      <w:pPr>
        <w:pStyle w:val="Heading1"/>
      </w:pPr>
      <w:r>
        <w:t>11. Falsification Register</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shd w:fill="0B3A53"/>
            <w:vAlign w:val="center"/>
            <w:tcMar>
              <w:top w:w="70" w:type="dxa"/>
              <w:start w:w="80" w:type="dxa"/>
              <w:bottom w:w="70" w:type="dxa"/>
              <w:end w:w="80" w:type="dxa"/>
            </w:tcMar>
          </w:tcPr>
          <w:p>
            <w:r>
              <w:rPr>
                <w:b/>
                <w:color w:val="FFFFFF"/>
                <w:sz w:val="16"/>
              </w:rPr>
              <w:t>ID</w:t>
            </w:r>
          </w:p>
        </w:tc>
        <w:tc>
          <w:tcPr>
            <w:tcW w:type="dxa" w:w="5040"/>
            <w:shd w:fill="0B3A53"/>
            <w:vAlign w:val="center"/>
            <w:tcMar>
              <w:top w:w="70" w:type="dxa"/>
              <w:start w:w="80" w:type="dxa"/>
              <w:bottom w:w="70" w:type="dxa"/>
              <w:end w:w="80" w:type="dxa"/>
            </w:tcMar>
          </w:tcPr>
          <w:p>
            <w:r>
              <w:rPr>
                <w:b/>
                <w:color w:val="FFFFFF"/>
                <w:sz w:val="16"/>
              </w:rPr>
              <w:t>Condition that weakens, narrows, or disproves the thesis</w:t>
            </w:r>
          </w:p>
        </w:tc>
      </w:tr>
      <w:tr>
        <w:tc>
          <w:tcPr>
            <w:tcW w:type="dxa" w:w="5040"/>
            <w:vAlign w:val="top"/>
            <w:tcMar>
              <w:top w:w="70" w:type="dxa"/>
              <w:start w:w="80" w:type="dxa"/>
              <w:bottom w:w="70" w:type="dxa"/>
              <w:end w:w="80" w:type="dxa"/>
            </w:tcMar>
          </w:tcPr>
          <w:p>
            <w:pPr>
              <w:spacing w:after="0"/>
            </w:pPr>
            <w:r>
              <w:rPr>
                <w:sz w:val="16"/>
              </w:rPr>
              <w:t>F1</w:t>
            </w:r>
          </w:p>
        </w:tc>
        <w:tc>
          <w:tcPr>
            <w:tcW w:type="dxa" w:w="5040"/>
            <w:vAlign w:val="top"/>
            <w:tcMar>
              <w:top w:w="70" w:type="dxa"/>
              <w:start w:w="80" w:type="dxa"/>
              <w:bottom w:w="70" w:type="dxa"/>
              <w:end w:w="80" w:type="dxa"/>
            </w:tcMar>
          </w:tcPr>
          <w:p>
            <w:pPr>
              <w:spacing w:after="0"/>
            </w:pPr>
            <w:r>
              <w:rPr>
                <w:sz w:val="16"/>
              </w:rPr>
              <w:t>Pathway visibility is unrelated to career agency, progression, retention, or economic outcomes after relevant controls.</w:t>
            </w:r>
          </w:p>
        </w:tc>
      </w:tr>
      <w:tr>
        <w:tc>
          <w:tcPr>
            <w:tcW w:type="dxa" w:w="5040"/>
            <w:vAlign w:val="top"/>
            <w:tcMar>
              <w:top w:w="70" w:type="dxa"/>
              <w:start w:w="80" w:type="dxa"/>
              <w:bottom w:w="70" w:type="dxa"/>
              <w:end w:w="80" w:type="dxa"/>
            </w:tcMar>
          </w:tcPr>
          <w:p>
            <w:pPr>
              <w:spacing w:after="0"/>
            </w:pPr>
            <w:r>
              <w:rPr>
                <w:sz w:val="16"/>
              </w:rPr>
              <w:t>F2</w:t>
            </w:r>
          </w:p>
        </w:tc>
        <w:tc>
          <w:tcPr>
            <w:tcW w:type="dxa" w:w="5040"/>
            <w:vAlign w:val="top"/>
            <w:tcMar>
              <w:top w:w="70" w:type="dxa"/>
              <w:start w:w="80" w:type="dxa"/>
              <w:bottom w:w="70" w:type="dxa"/>
              <w:end w:w="80" w:type="dxa"/>
            </w:tcMar>
          </w:tcPr>
          <w:p>
            <w:pPr>
              <w:spacing w:after="0"/>
            </w:pPr>
            <w:r>
              <w:rPr>
                <w:sz w:val="16"/>
              </w:rPr>
              <w:t>Employer opportunity—not preparation or pathway design—explains nearly all variation in progression.</w:t>
            </w:r>
          </w:p>
        </w:tc>
      </w:tr>
      <w:tr>
        <w:tc>
          <w:tcPr>
            <w:tcW w:type="dxa" w:w="5040"/>
            <w:vAlign w:val="top"/>
            <w:tcMar>
              <w:top w:w="70" w:type="dxa"/>
              <w:start w:w="80" w:type="dxa"/>
              <w:bottom w:w="70" w:type="dxa"/>
              <w:end w:w="80" w:type="dxa"/>
            </w:tcMar>
          </w:tcPr>
          <w:p>
            <w:pPr>
              <w:spacing w:after="0"/>
            </w:pPr>
            <w:r>
              <w:rPr>
                <w:sz w:val="16"/>
              </w:rPr>
              <w:t>F3</w:t>
            </w:r>
          </w:p>
        </w:tc>
        <w:tc>
          <w:tcPr>
            <w:tcW w:type="dxa" w:w="5040"/>
            <w:vAlign w:val="top"/>
            <w:tcMar>
              <w:top w:w="70" w:type="dxa"/>
              <w:start w:w="80" w:type="dxa"/>
              <w:bottom w:w="70" w:type="dxa"/>
              <w:end w:w="80" w:type="dxa"/>
            </w:tcMar>
          </w:tcPr>
          <w:p>
            <w:pPr>
              <w:spacing w:after="0"/>
            </w:pPr>
            <w:r>
              <w:rPr>
                <w:sz w:val="16"/>
              </w:rPr>
              <w:t>Internal mobility associations disappear after accounting for employee performance, selection, tenure, and job availability.</w:t>
            </w:r>
          </w:p>
        </w:tc>
      </w:tr>
      <w:tr>
        <w:tc>
          <w:tcPr>
            <w:tcW w:type="dxa" w:w="5040"/>
            <w:vAlign w:val="top"/>
            <w:tcMar>
              <w:top w:w="70" w:type="dxa"/>
              <w:start w:w="80" w:type="dxa"/>
              <w:bottom w:w="70" w:type="dxa"/>
              <w:end w:w="80" w:type="dxa"/>
            </w:tcMar>
          </w:tcPr>
          <w:p>
            <w:pPr>
              <w:spacing w:after="0"/>
            </w:pPr>
            <w:r>
              <w:rPr>
                <w:sz w:val="16"/>
              </w:rPr>
              <w:t>F4</w:t>
            </w:r>
          </w:p>
        </w:tc>
        <w:tc>
          <w:tcPr>
            <w:tcW w:type="dxa" w:w="5040"/>
            <w:vAlign w:val="top"/>
            <w:tcMar>
              <w:top w:w="70" w:type="dxa"/>
              <w:start w:w="80" w:type="dxa"/>
              <w:bottom w:w="70" w:type="dxa"/>
              <w:end w:w="80" w:type="dxa"/>
            </w:tcMar>
          </w:tcPr>
          <w:p>
            <w:pPr>
              <w:spacing w:after="0"/>
            </w:pPr>
            <w:r>
              <w:rPr>
                <w:sz w:val="16"/>
              </w:rPr>
              <w:t>ResolveCX-aligned skills/credentials are not recognized, rewarded, or transferable across employers.</w:t>
            </w:r>
          </w:p>
        </w:tc>
      </w:tr>
      <w:tr>
        <w:tc>
          <w:tcPr>
            <w:tcW w:type="dxa" w:w="5040"/>
            <w:vAlign w:val="top"/>
            <w:tcMar>
              <w:top w:w="70" w:type="dxa"/>
              <w:start w:w="80" w:type="dxa"/>
              <w:bottom w:w="70" w:type="dxa"/>
              <w:end w:w="80" w:type="dxa"/>
            </w:tcMar>
          </w:tcPr>
          <w:p>
            <w:pPr>
              <w:spacing w:after="0"/>
            </w:pPr>
            <w:r>
              <w:rPr>
                <w:sz w:val="16"/>
              </w:rPr>
              <w:t>F5</w:t>
            </w:r>
          </w:p>
        </w:tc>
        <w:tc>
          <w:tcPr>
            <w:tcW w:type="dxa" w:w="5040"/>
            <w:vAlign w:val="top"/>
            <w:tcMar>
              <w:top w:w="70" w:type="dxa"/>
              <w:start w:w="80" w:type="dxa"/>
              <w:bottom w:w="70" w:type="dxa"/>
              <w:end w:w="80" w:type="dxa"/>
            </w:tcMar>
          </w:tcPr>
          <w:p>
            <w:pPr>
              <w:spacing w:after="0"/>
            </w:pPr>
            <w:r>
              <w:rPr>
                <w:sz w:val="16"/>
              </w:rPr>
              <w:t>Short-term pathway completion produces no meaningful employment, earnings, job-quality, or progression benefit.</w:t>
            </w:r>
          </w:p>
        </w:tc>
      </w:tr>
      <w:tr>
        <w:tc>
          <w:tcPr>
            <w:tcW w:type="dxa" w:w="5040"/>
            <w:vAlign w:val="top"/>
            <w:tcMar>
              <w:top w:w="70" w:type="dxa"/>
              <w:start w:w="80" w:type="dxa"/>
              <w:bottom w:w="70" w:type="dxa"/>
              <w:end w:w="80" w:type="dxa"/>
            </w:tcMar>
          </w:tcPr>
          <w:p>
            <w:pPr>
              <w:spacing w:after="0"/>
            </w:pPr>
            <w:r>
              <w:rPr>
                <w:sz w:val="16"/>
              </w:rPr>
              <w:t>F6</w:t>
            </w:r>
          </w:p>
        </w:tc>
        <w:tc>
          <w:tcPr>
            <w:tcW w:type="dxa" w:w="5040"/>
            <w:vAlign w:val="top"/>
            <w:tcMar>
              <w:top w:w="70" w:type="dxa"/>
              <w:start w:w="80" w:type="dxa"/>
              <w:bottom w:w="70" w:type="dxa"/>
              <w:end w:w="80" w:type="dxa"/>
            </w:tcMar>
          </w:tcPr>
          <w:p>
            <w:pPr>
              <w:spacing w:after="0"/>
            </w:pPr>
            <w:r>
              <w:rPr>
                <w:sz w:val="16"/>
              </w:rPr>
              <w:t>Employers are unwilling to make concrete hiring, interviewing, advancement, work-based-learning, or wage commitments.</w:t>
            </w:r>
          </w:p>
        </w:tc>
      </w:tr>
      <w:tr>
        <w:tc>
          <w:tcPr>
            <w:tcW w:type="dxa" w:w="5040"/>
            <w:vAlign w:val="top"/>
            <w:tcMar>
              <w:top w:w="70" w:type="dxa"/>
              <w:start w:w="80" w:type="dxa"/>
              <w:bottom w:w="70" w:type="dxa"/>
              <w:end w:w="80" w:type="dxa"/>
            </w:tcMar>
          </w:tcPr>
          <w:p>
            <w:pPr>
              <w:spacing w:after="0"/>
            </w:pPr>
            <w:r>
              <w:rPr>
                <w:sz w:val="16"/>
              </w:rPr>
              <w:t>F7</w:t>
            </w:r>
          </w:p>
        </w:tc>
        <w:tc>
          <w:tcPr>
            <w:tcW w:type="dxa" w:w="5040"/>
            <w:vAlign w:val="top"/>
            <w:tcMar>
              <w:top w:w="70" w:type="dxa"/>
              <w:start w:w="80" w:type="dxa"/>
              <w:bottom w:w="70" w:type="dxa"/>
              <w:end w:w="80" w:type="dxa"/>
            </w:tcMar>
          </w:tcPr>
          <w:p>
            <w:pPr>
              <w:spacing w:after="0"/>
            </w:pPr>
            <w:r>
              <w:rPr>
                <w:sz w:val="16"/>
              </w:rPr>
              <w:t>Available advancement slots are too scarce for the pathway promise to be credible for the target population.</w:t>
            </w:r>
          </w:p>
        </w:tc>
      </w:tr>
      <w:tr>
        <w:tc>
          <w:tcPr>
            <w:tcW w:type="dxa" w:w="5040"/>
            <w:vAlign w:val="top"/>
            <w:tcMar>
              <w:top w:w="70" w:type="dxa"/>
              <w:start w:w="80" w:type="dxa"/>
              <w:bottom w:w="70" w:type="dxa"/>
              <w:end w:w="80" w:type="dxa"/>
            </w:tcMar>
          </w:tcPr>
          <w:p>
            <w:pPr>
              <w:spacing w:after="0"/>
            </w:pPr>
            <w:r>
              <w:rPr>
                <w:sz w:val="16"/>
              </w:rPr>
              <w:t>F8</w:t>
            </w:r>
          </w:p>
        </w:tc>
        <w:tc>
          <w:tcPr>
            <w:tcW w:type="dxa" w:w="5040"/>
            <w:vAlign w:val="top"/>
            <w:tcMar>
              <w:top w:w="70" w:type="dxa"/>
              <w:start w:w="80" w:type="dxa"/>
              <w:bottom w:w="70" w:type="dxa"/>
              <w:end w:w="80" w:type="dxa"/>
            </w:tcMar>
          </w:tcPr>
          <w:p>
            <w:pPr>
              <w:spacing w:after="0"/>
            </w:pPr>
            <w:r>
              <w:rPr>
                <w:sz w:val="16"/>
              </w:rPr>
              <w:t>Pathway access is materially inequitable and cannot be corrected through design.</w:t>
            </w:r>
          </w:p>
        </w:tc>
      </w:tr>
      <w:tr>
        <w:tc>
          <w:tcPr>
            <w:tcW w:type="dxa" w:w="5040"/>
            <w:vAlign w:val="top"/>
            <w:tcMar>
              <w:top w:w="70" w:type="dxa"/>
              <w:start w:w="80" w:type="dxa"/>
              <w:bottom w:w="70" w:type="dxa"/>
              <w:end w:w="80" w:type="dxa"/>
            </w:tcMar>
          </w:tcPr>
          <w:p>
            <w:pPr>
              <w:spacing w:after="0"/>
            </w:pPr>
            <w:r>
              <w:rPr>
                <w:sz w:val="16"/>
              </w:rPr>
              <w:t>F9</w:t>
            </w:r>
          </w:p>
        </w:tc>
        <w:tc>
          <w:tcPr>
            <w:tcW w:type="dxa" w:w="5040"/>
            <w:vAlign w:val="top"/>
            <w:tcMar>
              <w:top w:w="70" w:type="dxa"/>
              <w:start w:w="80" w:type="dxa"/>
              <w:bottom w:w="70" w:type="dxa"/>
              <w:end w:w="80" w:type="dxa"/>
            </w:tcMar>
          </w:tcPr>
          <w:p>
            <w:pPr>
              <w:spacing w:after="0"/>
            </w:pPr>
            <w:r>
              <w:rPr>
                <w:sz w:val="16"/>
              </w:rPr>
              <w:t>Participants gain confidence or satisfaction but no objective mobility/economic benefit.</w:t>
            </w:r>
          </w:p>
        </w:tc>
      </w:tr>
      <w:tr>
        <w:tc>
          <w:tcPr>
            <w:tcW w:type="dxa" w:w="5040"/>
            <w:vAlign w:val="top"/>
            <w:tcMar>
              <w:top w:w="70" w:type="dxa"/>
              <w:start w:w="80" w:type="dxa"/>
              <w:bottom w:w="70" w:type="dxa"/>
              <w:end w:w="80" w:type="dxa"/>
            </w:tcMar>
          </w:tcPr>
          <w:p>
            <w:pPr>
              <w:spacing w:after="0"/>
            </w:pPr>
            <w:r>
              <w:rPr>
                <w:sz w:val="16"/>
              </w:rPr>
              <w:t>F10</w:t>
            </w:r>
          </w:p>
        </w:tc>
        <w:tc>
          <w:tcPr>
            <w:tcW w:type="dxa" w:w="5040"/>
            <w:vAlign w:val="top"/>
            <w:tcMar>
              <w:top w:w="70" w:type="dxa"/>
              <w:start w:w="80" w:type="dxa"/>
              <w:bottom w:w="70" w:type="dxa"/>
              <w:end w:w="80" w:type="dxa"/>
            </w:tcMar>
          </w:tcPr>
          <w:p>
            <w:pPr>
              <w:spacing w:after="0"/>
            </w:pPr>
            <w:r>
              <w:rPr>
                <w:sz w:val="16"/>
              </w:rPr>
              <w:t>The pathway increases external mobility without improving earnings, job quality, stability, or employability.</w:t>
            </w:r>
          </w:p>
        </w:tc>
      </w:tr>
      <w:tr>
        <w:tc>
          <w:tcPr>
            <w:tcW w:type="dxa" w:w="5040"/>
            <w:vAlign w:val="top"/>
            <w:tcMar>
              <w:top w:w="70" w:type="dxa"/>
              <w:start w:w="80" w:type="dxa"/>
              <w:bottom w:w="70" w:type="dxa"/>
              <w:end w:w="80" w:type="dxa"/>
            </w:tcMar>
          </w:tcPr>
          <w:p>
            <w:pPr>
              <w:spacing w:after="0"/>
            </w:pPr>
            <w:r>
              <w:rPr>
                <w:sz w:val="16"/>
              </w:rPr>
              <w:t>F11</w:t>
            </w:r>
          </w:p>
        </w:tc>
        <w:tc>
          <w:tcPr>
            <w:tcW w:type="dxa" w:w="5040"/>
            <w:vAlign w:val="top"/>
            <w:tcMar>
              <w:top w:w="70" w:type="dxa"/>
              <w:start w:w="80" w:type="dxa"/>
              <w:bottom w:w="70" w:type="dxa"/>
              <w:end w:w="80" w:type="dxa"/>
            </w:tcMar>
          </w:tcPr>
          <w:p>
            <w:pPr>
              <w:spacing w:after="0"/>
            </w:pPr>
            <w:r>
              <w:rPr>
                <w:sz w:val="16"/>
              </w:rPr>
              <w:t>A simpler existing community-college/workforce program produces equivalent outcomes without ResolveCX.</w:t>
            </w:r>
          </w:p>
        </w:tc>
      </w:tr>
      <w:tr>
        <w:tc>
          <w:tcPr>
            <w:tcW w:type="dxa" w:w="5040"/>
            <w:vAlign w:val="top"/>
            <w:tcMar>
              <w:top w:w="70" w:type="dxa"/>
              <w:start w:w="80" w:type="dxa"/>
              <w:bottom w:w="70" w:type="dxa"/>
              <w:end w:w="80" w:type="dxa"/>
            </w:tcMar>
          </w:tcPr>
          <w:p>
            <w:pPr>
              <w:spacing w:after="0"/>
            </w:pPr>
            <w:r>
              <w:rPr>
                <w:sz w:val="16"/>
              </w:rPr>
              <w:t>F12</w:t>
            </w:r>
          </w:p>
        </w:tc>
        <w:tc>
          <w:tcPr>
            <w:tcW w:type="dxa" w:w="5040"/>
            <w:vAlign w:val="top"/>
            <w:tcMar>
              <w:top w:w="70" w:type="dxa"/>
              <w:start w:w="80" w:type="dxa"/>
              <w:bottom w:w="70" w:type="dxa"/>
              <w:end w:w="80" w:type="dxa"/>
            </w:tcMar>
          </w:tcPr>
          <w:p>
            <w:pPr>
              <w:spacing w:after="0"/>
            </w:pPr>
            <w:r>
              <w:rPr>
                <w:sz w:val="16"/>
              </w:rPr>
              <w:t>The intervention fails to replicate across employers, industries, regions, or participant populations.</w:t>
            </w:r>
          </w:p>
        </w:tc>
      </w:tr>
    </w:tbl>
    <w:p>
      <w:pPr>
        <w:pStyle w:val="Heading1"/>
      </w:pPr>
      <w:r>
        <w:t>12. Measurement Architecture</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Outcome family</w:t>
            </w:r>
          </w:p>
        </w:tc>
        <w:tc>
          <w:tcPr>
            <w:tcW w:type="dxa" w:w="3360"/>
            <w:shd w:fill="0B3A53"/>
            <w:vAlign w:val="center"/>
            <w:tcMar>
              <w:top w:w="70" w:type="dxa"/>
              <w:start w:w="80" w:type="dxa"/>
              <w:bottom w:w="70" w:type="dxa"/>
              <w:end w:w="80" w:type="dxa"/>
            </w:tcMar>
          </w:tcPr>
          <w:p>
            <w:r>
              <w:rPr>
                <w:b/>
                <w:color w:val="FFFFFF"/>
                <w:sz w:val="16"/>
              </w:rPr>
              <w:t>Preferred evidence</w:t>
            </w:r>
          </w:p>
        </w:tc>
        <w:tc>
          <w:tcPr>
            <w:tcW w:type="dxa" w:w="3360"/>
            <w:shd w:fill="0B3A53"/>
            <w:vAlign w:val="center"/>
            <w:tcMar>
              <w:top w:w="70" w:type="dxa"/>
              <w:start w:w="80" w:type="dxa"/>
              <w:bottom w:w="70" w:type="dxa"/>
              <w:end w:w="80" w:type="dxa"/>
            </w:tcMar>
          </w:tcPr>
          <w:p>
            <w:r>
              <w:rPr>
                <w:b/>
                <w:color w:val="FFFFFF"/>
                <w:sz w:val="16"/>
              </w:rPr>
              <w:t>Avoid</w:t>
            </w:r>
          </w:p>
        </w:tc>
      </w:tr>
      <w:tr>
        <w:tc>
          <w:tcPr>
            <w:tcW w:type="dxa" w:w="3360"/>
            <w:vAlign w:val="top"/>
            <w:tcMar>
              <w:top w:w="70" w:type="dxa"/>
              <w:start w:w="80" w:type="dxa"/>
              <w:bottom w:w="70" w:type="dxa"/>
              <w:end w:w="80" w:type="dxa"/>
            </w:tcMar>
          </w:tcPr>
          <w:p>
            <w:pPr>
              <w:spacing w:after="0"/>
            </w:pPr>
            <w:r>
              <w:rPr>
                <w:sz w:val="16"/>
              </w:rPr>
              <w:t>Career agency</w:t>
            </w:r>
          </w:p>
        </w:tc>
        <w:tc>
          <w:tcPr>
            <w:tcW w:type="dxa" w:w="3360"/>
            <w:vAlign w:val="top"/>
            <w:tcMar>
              <w:top w:w="70" w:type="dxa"/>
              <w:start w:w="80" w:type="dxa"/>
              <w:bottom w:w="70" w:type="dxa"/>
              <w:end w:w="80" w:type="dxa"/>
            </w:tcMar>
          </w:tcPr>
          <w:p>
            <w:pPr>
              <w:spacing w:after="0"/>
            </w:pPr>
            <w:r>
              <w:rPr>
                <w:sz w:val="16"/>
              </w:rPr>
              <w:t>Validated career-adaptability/planning/exploration measures where appropriate</w:t>
            </w:r>
          </w:p>
        </w:tc>
        <w:tc>
          <w:tcPr>
            <w:tcW w:type="dxa" w:w="3360"/>
            <w:vAlign w:val="top"/>
            <w:tcMar>
              <w:top w:w="70" w:type="dxa"/>
              <w:start w:w="80" w:type="dxa"/>
              <w:bottom w:w="70" w:type="dxa"/>
              <w:end w:w="80" w:type="dxa"/>
            </w:tcMar>
          </w:tcPr>
          <w:p>
            <w:pPr>
              <w:spacing w:after="0"/>
            </w:pPr>
            <w:r>
              <w:rPr>
                <w:sz w:val="16"/>
              </w:rPr>
              <w:t>Creating a proprietary agency index prematurely</w:t>
            </w:r>
          </w:p>
        </w:tc>
      </w:tr>
      <w:tr>
        <w:tc>
          <w:tcPr>
            <w:tcW w:type="dxa" w:w="3360"/>
            <w:vAlign w:val="top"/>
            <w:tcMar>
              <w:top w:w="70" w:type="dxa"/>
              <w:start w:w="80" w:type="dxa"/>
              <w:bottom w:w="70" w:type="dxa"/>
              <w:end w:w="80" w:type="dxa"/>
            </w:tcMar>
          </w:tcPr>
          <w:p>
            <w:pPr>
              <w:spacing w:after="0"/>
            </w:pPr>
            <w:r>
              <w:rPr>
                <w:sz w:val="16"/>
              </w:rPr>
              <w:t>Opportunity visibility</w:t>
            </w:r>
          </w:p>
        </w:tc>
        <w:tc>
          <w:tcPr>
            <w:tcW w:type="dxa" w:w="3360"/>
            <w:vAlign w:val="top"/>
            <w:tcMar>
              <w:top w:w="70" w:type="dxa"/>
              <w:start w:w="80" w:type="dxa"/>
              <w:bottom w:w="70" w:type="dxa"/>
              <w:end w:w="80" w:type="dxa"/>
            </w:tcMar>
          </w:tcPr>
          <w:p>
            <w:pPr>
              <w:spacing w:after="0"/>
            </w:pPr>
            <w:r>
              <w:rPr>
                <w:sz w:val="16"/>
              </w:rPr>
              <w:t>Employee knowledge + objective pathway documentation</w:t>
            </w:r>
          </w:p>
        </w:tc>
        <w:tc>
          <w:tcPr>
            <w:tcW w:type="dxa" w:w="3360"/>
            <w:vAlign w:val="top"/>
            <w:tcMar>
              <w:top w:w="70" w:type="dxa"/>
              <w:start w:w="80" w:type="dxa"/>
              <w:bottom w:w="70" w:type="dxa"/>
              <w:end w:w="80" w:type="dxa"/>
            </w:tcMar>
          </w:tcPr>
          <w:p>
            <w:pPr>
              <w:spacing w:after="0"/>
            </w:pPr>
            <w:r>
              <w:rPr>
                <w:sz w:val="16"/>
              </w:rPr>
              <w:t>Assuming a published career map equals opportunity</w:t>
            </w:r>
          </w:p>
        </w:tc>
      </w:tr>
      <w:tr>
        <w:tc>
          <w:tcPr>
            <w:tcW w:type="dxa" w:w="3360"/>
            <w:vAlign w:val="top"/>
            <w:tcMar>
              <w:top w:w="70" w:type="dxa"/>
              <w:start w:w="80" w:type="dxa"/>
              <w:bottom w:w="70" w:type="dxa"/>
              <w:end w:w="80" w:type="dxa"/>
            </w:tcMar>
          </w:tcPr>
          <w:p>
            <w:pPr>
              <w:spacing w:after="0"/>
            </w:pPr>
            <w:r>
              <w:rPr>
                <w:sz w:val="16"/>
              </w:rPr>
              <w:t>Mobility</w:t>
            </w:r>
          </w:p>
        </w:tc>
        <w:tc>
          <w:tcPr>
            <w:tcW w:type="dxa" w:w="3360"/>
            <w:vAlign w:val="top"/>
            <w:tcMar>
              <w:top w:w="70" w:type="dxa"/>
              <w:start w:w="80" w:type="dxa"/>
              <w:bottom w:w="70" w:type="dxa"/>
              <w:end w:w="80" w:type="dxa"/>
            </w:tcMar>
          </w:tcPr>
          <w:p>
            <w:pPr>
              <w:spacing w:after="0"/>
            </w:pPr>
            <w:r>
              <w:rPr>
                <w:sz w:val="16"/>
              </w:rPr>
              <w:t>HRIS/job-history data: promotion, lateral move, specialization, external transition</w:t>
            </w:r>
          </w:p>
        </w:tc>
        <w:tc>
          <w:tcPr>
            <w:tcW w:type="dxa" w:w="3360"/>
            <w:vAlign w:val="top"/>
            <w:tcMar>
              <w:top w:w="70" w:type="dxa"/>
              <w:start w:w="80" w:type="dxa"/>
              <w:bottom w:w="70" w:type="dxa"/>
              <w:end w:w="80" w:type="dxa"/>
            </w:tcMar>
          </w:tcPr>
          <w:p>
            <w:pPr>
              <w:spacing w:after="0"/>
            </w:pPr>
            <w:r>
              <w:rPr>
                <w:sz w:val="16"/>
              </w:rPr>
              <w:t>Using intention-to-advance as a substitute for actual mobility</w:t>
            </w:r>
          </w:p>
        </w:tc>
      </w:tr>
      <w:tr>
        <w:tc>
          <w:tcPr>
            <w:tcW w:type="dxa" w:w="3360"/>
            <w:vAlign w:val="top"/>
            <w:tcMar>
              <w:top w:w="70" w:type="dxa"/>
              <w:start w:w="80" w:type="dxa"/>
              <w:bottom w:w="70" w:type="dxa"/>
              <w:end w:w="80" w:type="dxa"/>
            </w:tcMar>
          </w:tcPr>
          <w:p>
            <w:pPr>
              <w:spacing w:after="0"/>
            </w:pPr>
            <w:r>
              <w:rPr>
                <w:sz w:val="16"/>
              </w:rPr>
              <w:t>Economic outcomes</w:t>
            </w:r>
          </w:p>
        </w:tc>
        <w:tc>
          <w:tcPr>
            <w:tcW w:type="dxa" w:w="3360"/>
            <w:vAlign w:val="top"/>
            <w:tcMar>
              <w:top w:w="70" w:type="dxa"/>
              <w:start w:w="80" w:type="dxa"/>
              <w:bottom w:w="70" w:type="dxa"/>
              <w:end w:w="80" w:type="dxa"/>
            </w:tcMar>
          </w:tcPr>
          <w:p>
            <w:pPr>
              <w:spacing w:after="0"/>
            </w:pPr>
            <w:r>
              <w:rPr>
                <w:sz w:val="16"/>
              </w:rPr>
              <w:t>Wages, hours, benefits, employment continuity, job quality</w:t>
            </w:r>
          </w:p>
        </w:tc>
        <w:tc>
          <w:tcPr>
            <w:tcW w:type="dxa" w:w="3360"/>
            <w:vAlign w:val="top"/>
            <w:tcMar>
              <w:top w:w="70" w:type="dxa"/>
              <w:start w:w="80" w:type="dxa"/>
              <w:bottom w:w="70" w:type="dxa"/>
              <w:end w:w="80" w:type="dxa"/>
            </w:tcMar>
          </w:tcPr>
          <w:p>
            <w:pPr>
              <w:spacing w:after="0"/>
            </w:pPr>
            <w:r>
              <w:rPr>
                <w:sz w:val="16"/>
              </w:rPr>
              <w:t>Treating title change alone as economic progress</w:t>
            </w:r>
          </w:p>
        </w:tc>
      </w:tr>
      <w:tr>
        <w:tc>
          <w:tcPr>
            <w:tcW w:type="dxa" w:w="3360"/>
            <w:vAlign w:val="top"/>
            <w:tcMar>
              <w:top w:w="70" w:type="dxa"/>
              <w:start w:w="80" w:type="dxa"/>
              <w:bottom w:w="70" w:type="dxa"/>
              <w:end w:w="80" w:type="dxa"/>
            </w:tcMar>
          </w:tcPr>
          <w:p>
            <w:pPr>
              <w:spacing w:after="0"/>
            </w:pPr>
            <w:r>
              <w:rPr>
                <w:sz w:val="16"/>
              </w:rPr>
              <w:t>Skill portability</w:t>
            </w:r>
          </w:p>
        </w:tc>
        <w:tc>
          <w:tcPr>
            <w:tcW w:type="dxa" w:w="3360"/>
            <w:vAlign w:val="top"/>
            <w:tcMar>
              <w:top w:w="70" w:type="dxa"/>
              <w:start w:w="80" w:type="dxa"/>
              <w:bottom w:w="70" w:type="dxa"/>
              <w:end w:w="80" w:type="dxa"/>
            </w:tcMar>
          </w:tcPr>
          <w:p>
            <w:pPr>
              <w:spacing w:after="0"/>
            </w:pPr>
            <w:r>
              <w:rPr>
                <w:sz w:val="16"/>
              </w:rPr>
              <w:t>Employer recognition, skill assessments, cross-employer hiring outcomes</w:t>
            </w:r>
          </w:p>
        </w:tc>
        <w:tc>
          <w:tcPr>
            <w:tcW w:type="dxa" w:w="3360"/>
            <w:vAlign w:val="top"/>
            <w:tcMar>
              <w:top w:w="70" w:type="dxa"/>
              <w:start w:w="80" w:type="dxa"/>
              <w:bottom w:w="70" w:type="dxa"/>
              <w:end w:w="80" w:type="dxa"/>
            </w:tcMar>
          </w:tcPr>
          <w:p>
            <w:pPr>
              <w:spacing w:after="0"/>
            </w:pPr>
            <w:r>
              <w:rPr>
                <w:sz w:val="16"/>
              </w:rPr>
              <w:t>Assuming course completion proves portable capability</w:t>
            </w:r>
          </w:p>
        </w:tc>
      </w:tr>
      <w:tr>
        <w:tc>
          <w:tcPr>
            <w:tcW w:type="dxa" w:w="3360"/>
            <w:vAlign w:val="top"/>
            <w:tcMar>
              <w:top w:w="70" w:type="dxa"/>
              <w:start w:w="80" w:type="dxa"/>
              <w:bottom w:w="70" w:type="dxa"/>
              <w:end w:w="80" w:type="dxa"/>
            </w:tcMar>
          </w:tcPr>
          <w:p>
            <w:pPr>
              <w:spacing w:after="0"/>
            </w:pPr>
            <w:r>
              <w:rPr>
                <w:sz w:val="16"/>
              </w:rPr>
              <w:t>Retention</w:t>
            </w:r>
          </w:p>
        </w:tc>
        <w:tc>
          <w:tcPr>
            <w:tcW w:type="dxa" w:w="3360"/>
            <w:vAlign w:val="top"/>
            <w:tcMar>
              <w:top w:w="70" w:type="dxa"/>
              <w:start w:w="80" w:type="dxa"/>
              <w:bottom w:w="70" w:type="dxa"/>
              <w:end w:w="80" w:type="dxa"/>
            </w:tcMar>
          </w:tcPr>
          <w:p>
            <w:pPr>
              <w:spacing w:after="0"/>
            </w:pPr>
            <w:r>
              <w:rPr>
                <w:sz w:val="16"/>
              </w:rPr>
              <w:t>Actual tenure/turnover with reason and destination where available</w:t>
            </w:r>
          </w:p>
        </w:tc>
        <w:tc>
          <w:tcPr>
            <w:tcW w:type="dxa" w:w="3360"/>
            <w:vAlign w:val="top"/>
            <w:tcMar>
              <w:top w:w="70" w:type="dxa"/>
              <w:start w:w="80" w:type="dxa"/>
              <w:bottom w:w="70" w:type="dxa"/>
              <w:end w:w="80" w:type="dxa"/>
            </w:tcMar>
          </w:tcPr>
          <w:p>
            <w:pPr>
              <w:spacing w:after="0"/>
            </w:pPr>
            <w:r>
              <w:rPr>
                <w:sz w:val="16"/>
              </w:rPr>
              <w:t>Treating all turnover as failure</w:t>
            </w:r>
          </w:p>
        </w:tc>
      </w:tr>
      <w:tr>
        <w:tc>
          <w:tcPr>
            <w:tcW w:type="dxa" w:w="3360"/>
            <w:vAlign w:val="top"/>
            <w:tcMar>
              <w:top w:w="70" w:type="dxa"/>
              <w:start w:w="80" w:type="dxa"/>
              <w:bottom w:w="70" w:type="dxa"/>
              <w:end w:w="80" w:type="dxa"/>
            </w:tcMar>
          </w:tcPr>
          <w:p>
            <w:pPr>
              <w:spacing w:after="0"/>
            </w:pPr>
            <w:r>
              <w:rPr>
                <w:sz w:val="16"/>
              </w:rPr>
              <w:t>Employer value</w:t>
            </w:r>
          </w:p>
        </w:tc>
        <w:tc>
          <w:tcPr>
            <w:tcW w:type="dxa" w:w="3360"/>
            <w:vAlign w:val="top"/>
            <w:tcMar>
              <w:top w:w="70" w:type="dxa"/>
              <w:start w:w="80" w:type="dxa"/>
              <w:bottom w:w="70" w:type="dxa"/>
              <w:end w:w="80" w:type="dxa"/>
            </w:tcMar>
          </w:tcPr>
          <w:p>
            <w:pPr>
              <w:spacing w:after="0"/>
            </w:pPr>
            <w:r>
              <w:rPr>
                <w:sz w:val="16"/>
              </w:rPr>
              <w:t>Internal fill rate, vacancy duration, time-to-proficiency, retention, replacement cost</w:t>
            </w:r>
          </w:p>
        </w:tc>
        <w:tc>
          <w:tcPr>
            <w:tcW w:type="dxa" w:w="3360"/>
            <w:vAlign w:val="top"/>
            <w:tcMar>
              <w:top w:w="70" w:type="dxa"/>
              <w:start w:w="80" w:type="dxa"/>
              <w:bottom w:w="70" w:type="dxa"/>
              <w:end w:w="80" w:type="dxa"/>
            </w:tcMar>
          </w:tcPr>
          <w:p>
            <w:pPr>
              <w:spacing w:after="0"/>
            </w:pPr>
            <w:r>
              <w:rPr>
                <w:sz w:val="16"/>
              </w:rPr>
              <w:t>ROI claims based only on participant satisfaction</w:t>
            </w:r>
          </w:p>
        </w:tc>
      </w:tr>
      <w:tr>
        <w:tc>
          <w:tcPr>
            <w:tcW w:type="dxa" w:w="3360"/>
            <w:vAlign w:val="top"/>
            <w:tcMar>
              <w:top w:w="70" w:type="dxa"/>
              <w:start w:w="80" w:type="dxa"/>
              <w:bottom w:w="70" w:type="dxa"/>
              <w:end w:w="80" w:type="dxa"/>
            </w:tcMar>
          </w:tcPr>
          <w:p>
            <w:pPr>
              <w:spacing w:after="0"/>
            </w:pPr>
            <w:r>
              <w:rPr>
                <w:sz w:val="16"/>
              </w:rPr>
              <w:t>Equity/access</w:t>
            </w:r>
          </w:p>
        </w:tc>
        <w:tc>
          <w:tcPr>
            <w:tcW w:type="dxa" w:w="3360"/>
            <w:vAlign w:val="top"/>
            <w:tcMar>
              <w:top w:w="70" w:type="dxa"/>
              <w:start w:w="80" w:type="dxa"/>
              <w:bottom w:w="70" w:type="dxa"/>
              <w:end w:w="80" w:type="dxa"/>
            </w:tcMar>
          </w:tcPr>
          <w:p>
            <w:pPr>
              <w:spacing w:after="0"/>
            </w:pPr>
            <w:r>
              <w:rPr>
                <w:sz w:val="16"/>
              </w:rPr>
              <w:t>Eligibility, application, selection, completion and progression rates by relevant groups</w:t>
            </w:r>
          </w:p>
        </w:tc>
        <w:tc>
          <w:tcPr>
            <w:tcW w:type="dxa" w:w="3360"/>
            <w:vAlign w:val="top"/>
            <w:tcMar>
              <w:top w:w="70" w:type="dxa"/>
              <w:start w:w="80" w:type="dxa"/>
              <w:bottom w:w="70" w:type="dxa"/>
              <w:end w:w="80" w:type="dxa"/>
            </w:tcMar>
          </w:tcPr>
          <w:p>
            <w:pPr>
              <w:spacing w:after="0"/>
            </w:pPr>
            <w:r>
              <w:rPr>
                <w:sz w:val="16"/>
              </w:rPr>
              <w:t>Assuming equal access from equal written rules</w:t>
            </w:r>
          </w:p>
        </w:tc>
      </w:tr>
    </w:tbl>
    <w:p>
      <w:pPr>
        <w:pStyle w:val="Heading1"/>
      </w:pPr>
      <w:r>
        <w:t>13. Primary Data Trigger Rules</w:t>
      </w:r>
    </w:p>
    <w:p>
      <w:pPr>
        <w:pStyle w:val="ListBullet"/>
        <w:spacing w:after="30"/>
      </w:pPr>
      <w:r>
        <w:t>Do not survey employees merely to confirm that career opportunity matters in general.</w:t>
      </w:r>
    </w:p>
    <w:p>
      <w:pPr>
        <w:pStyle w:val="ListBullet"/>
        <w:spacing w:after="30"/>
      </w:pPr>
      <w:r>
        <w:t>Use interviews when we need to understand hidden barriers, opportunity credibility, employer decision rules, pathway language, or why apparently similar pathways produce different outcomes.</w:t>
      </w:r>
    </w:p>
    <w:p>
      <w:pPr>
        <w:pStyle w:val="ListBullet"/>
        <w:spacing w:after="30"/>
      </w:pPr>
      <w:r>
        <w:t>Use surveys only when a defined construct, comparison, prevalence estimate, moderator, or unresolved pathway mechanism cannot be answered from existing evidence.</w:t>
      </w:r>
    </w:p>
    <w:p>
      <w:pPr>
        <w:pStyle w:val="ListBullet"/>
        <w:spacing w:after="30"/>
      </w:pPr>
      <w:r>
        <w:t>Prefer administrative employer/college/workforce data for actual placement, completion, mobility, retention, wages, and progression.</w:t>
      </w:r>
    </w:p>
    <w:p>
      <w:pPr>
        <w:pStyle w:val="ListBullet"/>
        <w:spacing w:after="30"/>
      </w:pPr>
      <w:r>
        <w:t>Use matched comparison, quasi-experimental, or experimental designs when estimating the effect of a ResolveCX pathway.</w:t>
      </w:r>
    </w:p>
    <w:p>
      <w:pPr>
        <w:pStyle w:val="ListBullet"/>
        <w:spacing w:after="30"/>
      </w:pPr>
      <w:r>
        <w:t>Before primary collection, complete a Decision Record: unresolved question, evidence reviewed, why insufficient, best next evidence source, decision value, and stop rule.</w:t>
      </w:r>
    </w:p>
    <w:p>
      <w:pPr>
        <w:pStyle w:val="Heading1"/>
      </w:pPr>
      <w:r>
        <w:t>14. Stakeholder Evidence Streams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Stakeholder</w:t>
            </w:r>
          </w:p>
        </w:tc>
        <w:tc>
          <w:tcPr>
            <w:tcW w:type="dxa" w:w="3360"/>
            <w:shd w:fill="0B3A53"/>
            <w:vAlign w:val="center"/>
            <w:tcMar>
              <w:top w:w="70" w:type="dxa"/>
              <w:start w:w="80" w:type="dxa"/>
              <w:bottom w:w="70" w:type="dxa"/>
              <w:end w:w="80" w:type="dxa"/>
            </w:tcMar>
          </w:tcPr>
          <w:p>
            <w:r>
              <w:rPr>
                <w:b/>
                <w:color w:val="FFFFFF"/>
                <w:sz w:val="16"/>
              </w:rPr>
              <w:t>What we need to know</w:t>
            </w:r>
          </w:p>
        </w:tc>
        <w:tc>
          <w:tcPr>
            <w:tcW w:type="dxa" w:w="3360"/>
            <w:shd w:fill="0B3A53"/>
            <w:vAlign w:val="center"/>
            <w:tcMar>
              <w:top w:w="70" w:type="dxa"/>
              <w:start w:w="80" w:type="dxa"/>
              <w:bottom w:w="70" w:type="dxa"/>
              <w:end w:w="80" w:type="dxa"/>
            </w:tcMar>
          </w:tcPr>
          <w:p>
            <w:r>
              <w:rPr>
                <w:b/>
                <w:color w:val="FFFFFF"/>
                <w:sz w:val="16"/>
              </w:rPr>
              <w:t>Best evidence source</w:t>
            </w:r>
          </w:p>
        </w:tc>
      </w:tr>
      <w:tr>
        <w:tc>
          <w:tcPr>
            <w:tcW w:type="dxa" w:w="3360"/>
            <w:vAlign w:val="top"/>
            <w:tcMar>
              <w:top w:w="70" w:type="dxa"/>
              <w:start w:w="80" w:type="dxa"/>
              <w:bottom w:w="70" w:type="dxa"/>
              <w:end w:w="80" w:type="dxa"/>
            </w:tcMar>
          </w:tcPr>
          <w:p>
            <w:pPr>
              <w:spacing w:after="0"/>
            </w:pPr>
            <w:r>
              <w:rPr>
                <w:sz w:val="16"/>
              </w:rPr>
              <w:t>Frontline / former frontline</w:t>
            </w:r>
          </w:p>
        </w:tc>
        <w:tc>
          <w:tcPr>
            <w:tcW w:type="dxa" w:w="3360"/>
            <w:vAlign w:val="top"/>
            <w:tcMar>
              <w:top w:w="70" w:type="dxa"/>
              <w:start w:w="80" w:type="dxa"/>
              <w:bottom w:w="70" w:type="dxa"/>
              <w:end w:w="80" w:type="dxa"/>
            </w:tcMar>
          </w:tcPr>
          <w:p>
            <w:pPr>
              <w:spacing w:after="0"/>
            </w:pPr>
            <w:r>
              <w:rPr>
                <w:sz w:val="16"/>
              </w:rPr>
              <w:t>What opportunities were visible, accessible, credible, and valuable?</w:t>
            </w:r>
          </w:p>
        </w:tc>
        <w:tc>
          <w:tcPr>
            <w:tcW w:type="dxa" w:w="3360"/>
            <w:vAlign w:val="top"/>
            <w:tcMar>
              <w:top w:w="70" w:type="dxa"/>
              <w:start w:w="80" w:type="dxa"/>
              <w:bottom w:w="70" w:type="dxa"/>
              <w:end w:w="80" w:type="dxa"/>
            </w:tcMar>
          </w:tcPr>
          <w:p>
            <w:pPr>
              <w:spacing w:after="0"/>
            </w:pPr>
            <w:r>
              <w:rPr>
                <w:sz w:val="16"/>
              </w:rPr>
              <w:t>Targeted interviews only for unresolved mechanisms; job-history outcomes where possible</w:t>
            </w:r>
          </w:p>
        </w:tc>
      </w:tr>
      <w:tr>
        <w:tc>
          <w:tcPr>
            <w:tcW w:type="dxa" w:w="3360"/>
            <w:vAlign w:val="top"/>
            <w:tcMar>
              <w:top w:w="70" w:type="dxa"/>
              <w:start w:w="80" w:type="dxa"/>
              <w:bottom w:w="70" w:type="dxa"/>
              <w:end w:w="80" w:type="dxa"/>
            </w:tcMar>
          </w:tcPr>
          <w:p>
            <w:pPr>
              <w:spacing w:after="0"/>
            </w:pPr>
            <w:r>
              <w:rPr>
                <w:sz w:val="16"/>
              </w:rPr>
              <w:t>Supervisors / operations</w:t>
            </w:r>
          </w:p>
        </w:tc>
        <w:tc>
          <w:tcPr>
            <w:tcW w:type="dxa" w:w="3360"/>
            <w:vAlign w:val="top"/>
            <w:tcMar>
              <w:top w:w="70" w:type="dxa"/>
              <w:start w:w="80" w:type="dxa"/>
              <w:bottom w:w="70" w:type="dxa"/>
              <w:end w:w="80" w:type="dxa"/>
            </w:tcMar>
          </w:tcPr>
          <w:p>
            <w:pPr>
              <w:spacing w:after="0"/>
            </w:pPr>
            <w:r>
              <w:rPr>
                <w:sz w:val="16"/>
              </w:rPr>
              <w:t>How are candidates identified, developed, and released into new roles?</w:t>
            </w:r>
          </w:p>
        </w:tc>
        <w:tc>
          <w:tcPr>
            <w:tcW w:type="dxa" w:w="3360"/>
            <w:vAlign w:val="top"/>
            <w:tcMar>
              <w:top w:w="70" w:type="dxa"/>
              <w:start w:w="80" w:type="dxa"/>
              <w:bottom w:w="70" w:type="dxa"/>
              <w:end w:w="80" w:type="dxa"/>
            </w:tcMar>
          </w:tcPr>
          <w:p>
            <w:pPr>
              <w:spacing w:after="0"/>
            </w:pPr>
            <w:r>
              <w:rPr>
                <w:sz w:val="16"/>
              </w:rPr>
              <w:t>Process data + interviews</w:t>
            </w:r>
          </w:p>
        </w:tc>
      </w:tr>
      <w:tr>
        <w:tc>
          <w:tcPr>
            <w:tcW w:type="dxa" w:w="3360"/>
            <w:vAlign w:val="top"/>
            <w:tcMar>
              <w:top w:w="70" w:type="dxa"/>
              <w:start w:w="80" w:type="dxa"/>
              <w:bottom w:w="70" w:type="dxa"/>
              <w:end w:w="80" w:type="dxa"/>
            </w:tcMar>
          </w:tcPr>
          <w:p>
            <w:pPr>
              <w:spacing w:after="0"/>
            </w:pPr>
            <w:r>
              <w:rPr>
                <w:sz w:val="16"/>
              </w:rPr>
              <w:t>HR / talent acquisition</w:t>
            </w:r>
          </w:p>
        </w:tc>
        <w:tc>
          <w:tcPr>
            <w:tcW w:type="dxa" w:w="3360"/>
            <w:vAlign w:val="top"/>
            <w:tcMar>
              <w:top w:w="70" w:type="dxa"/>
              <w:start w:w="80" w:type="dxa"/>
              <w:bottom w:w="70" w:type="dxa"/>
              <w:end w:w="80" w:type="dxa"/>
            </w:tcMar>
          </w:tcPr>
          <w:p>
            <w:pPr>
              <w:spacing w:after="0"/>
            </w:pPr>
            <w:r>
              <w:rPr>
                <w:sz w:val="16"/>
              </w:rPr>
              <w:t>What skills/credentials actually alter hiring or advancement decisions?</w:t>
            </w:r>
          </w:p>
        </w:tc>
        <w:tc>
          <w:tcPr>
            <w:tcW w:type="dxa" w:w="3360"/>
            <w:vAlign w:val="top"/>
            <w:tcMar>
              <w:top w:w="70" w:type="dxa"/>
              <w:start w:w="80" w:type="dxa"/>
              <w:bottom w:w="70" w:type="dxa"/>
              <w:end w:w="80" w:type="dxa"/>
            </w:tcMar>
          </w:tcPr>
          <w:p>
            <w:pPr>
              <w:spacing w:after="0"/>
            </w:pPr>
            <w:r>
              <w:rPr>
                <w:sz w:val="16"/>
              </w:rPr>
              <w:t>Hiring criteria, applicant-flow data, structured interviews</w:t>
            </w:r>
          </w:p>
        </w:tc>
      </w:tr>
      <w:tr>
        <w:tc>
          <w:tcPr>
            <w:tcW w:type="dxa" w:w="3360"/>
            <w:vAlign w:val="top"/>
            <w:tcMar>
              <w:top w:w="70" w:type="dxa"/>
              <w:start w:w="80" w:type="dxa"/>
              <w:bottom w:w="70" w:type="dxa"/>
              <w:end w:w="80" w:type="dxa"/>
            </w:tcMar>
          </w:tcPr>
          <w:p>
            <w:pPr>
              <w:spacing w:after="0"/>
            </w:pPr>
            <w:r>
              <w:rPr>
                <w:sz w:val="16"/>
              </w:rPr>
              <w:t>L&amp;D</w:t>
            </w:r>
          </w:p>
        </w:tc>
        <w:tc>
          <w:tcPr>
            <w:tcW w:type="dxa" w:w="3360"/>
            <w:vAlign w:val="top"/>
            <w:tcMar>
              <w:top w:w="70" w:type="dxa"/>
              <w:start w:w="80" w:type="dxa"/>
              <w:bottom w:w="70" w:type="dxa"/>
              <w:end w:w="80" w:type="dxa"/>
            </w:tcMar>
          </w:tcPr>
          <w:p>
            <w:pPr>
              <w:spacing w:after="0"/>
            </w:pPr>
            <w:r>
              <w:rPr>
                <w:sz w:val="16"/>
              </w:rPr>
              <w:t>What development exists and whether it maps to real opportunity?</w:t>
            </w:r>
          </w:p>
        </w:tc>
        <w:tc>
          <w:tcPr>
            <w:tcW w:type="dxa" w:w="3360"/>
            <w:vAlign w:val="top"/>
            <w:tcMar>
              <w:top w:w="70" w:type="dxa"/>
              <w:start w:w="80" w:type="dxa"/>
              <w:bottom w:w="70" w:type="dxa"/>
              <w:end w:w="80" w:type="dxa"/>
            </w:tcMar>
          </w:tcPr>
          <w:p>
            <w:pPr>
              <w:spacing w:after="0"/>
            </w:pPr>
            <w:r>
              <w:rPr>
                <w:sz w:val="16"/>
              </w:rPr>
              <w:t>Curriculum/pathway documentation + completion data</w:t>
            </w:r>
          </w:p>
        </w:tc>
      </w:tr>
      <w:tr>
        <w:tc>
          <w:tcPr>
            <w:tcW w:type="dxa" w:w="3360"/>
            <w:vAlign w:val="top"/>
            <w:tcMar>
              <w:top w:w="70" w:type="dxa"/>
              <w:start w:w="80" w:type="dxa"/>
              <w:bottom w:w="70" w:type="dxa"/>
              <w:end w:w="80" w:type="dxa"/>
            </w:tcMar>
          </w:tcPr>
          <w:p>
            <w:pPr>
              <w:spacing w:after="0"/>
            </w:pPr>
            <w:r>
              <w:rPr>
                <w:sz w:val="16"/>
              </w:rPr>
              <w:t>Employers / economic buyers</w:t>
            </w:r>
          </w:p>
        </w:tc>
        <w:tc>
          <w:tcPr>
            <w:tcW w:type="dxa" w:w="3360"/>
            <w:vAlign w:val="top"/>
            <w:tcMar>
              <w:top w:w="70" w:type="dxa"/>
              <w:start w:w="80" w:type="dxa"/>
              <w:bottom w:w="70" w:type="dxa"/>
              <w:end w:w="80" w:type="dxa"/>
            </w:tcMar>
          </w:tcPr>
          <w:p>
            <w:pPr>
              <w:spacing w:after="0"/>
            </w:pPr>
            <w:r>
              <w:rPr>
                <w:sz w:val="16"/>
              </w:rPr>
              <w:t>What commitment makes a pathway worth building?</w:t>
            </w:r>
          </w:p>
        </w:tc>
        <w:tc>
          <w:tcPr>
            <w:tcW w:type="dxa" w:w="3360"/>
            <w:vAlign w:val="top"/>
            <w:tcMar>
              <w:top w:w="70" w:type="dxa"/>
              <w:start w:w="80" w:type="dxa"/>
              <w:bottom w:w="70" w:type="dxa"/>
              <w:end w:w="80" w:type="dxa"/>
            </w:tcMar>
          </w:tcPr>
          <w:p>
            <w:pPr>
              <w:spacing w:after="0"/>
            </w:pPr>
            <w:r>
              <w:rPr>
                <w:sz w:val="16"/>
              </w:rPr>
              <w:t>Written pilot commitments, hiring/interview guarantees, work-based learning, data sharing</w:t>
            </w:r>
          </w:p>
        </w:tc>
      </w:tr>
      <w:tr>
        <w:tc>
          <w:tcPr>
            <w:tcW w:type="dxa" w:w="3360"/>
            <w:vAlign w:val="top"/>
            <w:tcMar>
              <w:top w:w="70" w:type="dxa"/>
              <w:start w:w="80" w:type="dxa"/>
              <w:bottom w:w="70" w:type="dxa"/>
              <w:end w:w="80" w:type="dxa"/>
            </w:tcMar>
          </w:tcPr>
          <w:p>
            <w:pPr>
              <w:spacing w:after="0"/>
            </w:pPr>
            <w:r>
              <w:rPr>
                <w:sz w:val="16"/>
              </w:rPr>
              <w:t>Community colleges</w:t>
            </w:r>
          </w:p>
        </w:tc>
        <w:tc>
          <w:tcPr>
            <w:tcW w:type="dxa" w:w="3360"/>
            <w:vAlign w:val="top"/>
            <w:tcMar>
              <w:top w:w="70" w:type="dxa"/>
              <w:start w:w="80" w:type="dxa"/>
              <w:bottom w:w="70" w:type="dxa"/>
              <w:end w:w="80" w:type="dxa"/>
            </w:tcMar>
          </w:tcPr>
          <w:p>
            <w:pPr>
              <w:spacing w:after="0"/>
            </w:pPr>
            <w:r>
              <w:rPr>
                <w:sz w:val="16"/>
              </w:rPr>
              <w:t>Can the program be delivered, credentialed, stacked, and evaluated?</w:t>
            </w:r>
          </w:p>
        </w:tc>
        <w:tc>
          <w:tcPr>
            <w:tcW w:type="dxa" w:w="3360"/>
            <w:vAlign w:val="top"/>
            <w:tcMar>
              <w:top w:w="70" w:type="dxa"/>
              <w:start w:w="80" w:type="dxa"/>
              <w:bottom w:w="70" w:type="dxa"/>
              <w:end w:w="80" w:type="dxa"/>
            </w:tcMar>
          </w:tcPr>
          <w:p>
            <w:pPr>
              <w:spacing w:after="0"/>
            </w:pPr>
            <w:r>
              <w:rPr>
                <w:sz w:val="16"/>
              </w:rPr>
              <w:t>Program requirements, completion and employment data</w:t>
            </w:r>
          </w:p>
        </w:tc>
      </w:tr>
      <w:tr>
        <w:tc>
          <w:tcPr>
            <w:tcW w:type="dxa" w:w="3360"/>
            <w:vAlign w:val="top"/>
            <w:tcMar>
              <w:top w:w="70" w:type="dxa"/>
              <w:start w:w="80" w:type="dxa"/>
              <w:bottom w:w="70" w:type="dxa"/>
              <w:end w:w="80" w:type="dxa"/>
            </w:tcMar>
          </w:tcPr>
          <w:p>
            <w:pPr>
              <w:spacing w:after="0"/>
            </w:pPr>
            <w:r>
              <w:rPr>
                <w:sz w:val="16"/>
              </w:rPr>
              <w:t>Workforce development</w:t>
            </w:r>
          </w:p>
        </w:tc>
        <w:tc>
          <w:tcPr>
            <w:tcW w:type="dxa" w:w="3360"/>
            <w:vAlign w:val="top"/>
            <w:tcMar>
              <w:top w:w="70" w:type="dxa"/>
              <w:start w:w="80" w:type="dxa"/>
              <w:bottom w:w="70" w:type="dxa"/>
              <w:end w:w="80" w:type="dxa"/>
            </w:tcMar>
          </w:tcPr>
          <w:p>
            <w:pPr>
              <w:spacing w:after="0"/>
            </w:pPr>
            <w:r>
              <w:rPr>
                <w:sz w:val="16"/>
              </w:rPr>
              <w:t>Can the pathway reach target populations and connect to funded services?</w:t>
            </w:r>
          </w:p>
        </w:tc>
        <w:tc>
          <w:tcPr>
            <w:tcW w:type="dxa" w:w="3360"/>
            <w:vAlign w:val="top"/>
            <w:tcMar>
              <w:top w:w="70" w:type="dxa"/>
              <w:start w:w="80" w:type="dxa"/>
              <w:bottom w:w="70" w:type="dxa"/>
              <w:end w:w="80" w:type="dxa"/>
            </w:tcMar>
          </w:tcPr>
          <w:p>
            <w:pPr>
              <w:spacing w:after="0"/>
            </w:pPr>
            <w:r>
              <w:rPr>
                <w:sz w:val="16"/>
              </w:rPr>
              <w:t>Participant-flow, eligibility, placement and wage data</w:t>
            </w:r>
          </w:p>
        </w:tc>
      </w:tr>
    </w:tbl>
    <w:p>
      <w:pPr>
        <w:pStyle w:val="Heading1"/>
      </w:pPr>
      <w:r>
        <w:t>15. Employer Commitment Test</w:t>
      </w:r>
    </w:p>
    <w:p>
      <w:r>
        <w:t>Study #006 treats employer demand as a necessary part of pathway validity. ResolveCX should not build a local pathway around expressions of interest alone.</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Commitment level</w:t>
            </w:r>
          </w:p>
        </w:tc>
        <w:tc>
          <w:tcPr>
            <w:tcW w:type="dxa" w:w="3360"/>
            <w:shd w:fill="0B3A53"/>
            <w:vAlign w:val="center"/>
            <w:tcMar>
              <w:top w:w="70" w:type="dxa"/>
              <w:start w:w="80" w:type="dxa"/>
              <w:bottom w:w="70" w:type="dxa"/>
              <w:end w:w="80" w:type="dxa"/>
            </w:tcMar>
          </w:tcPr>
          <w:p>
            <w:r>
              <w:rPr>
                <w:b/>
                <w:color w:val="FFFFFF"/>
                <w:sz w:val="16"/>
              </w:rPr>
              <w:t>Example</w:t>
            </w:r>
          </w:p>
        </w:tc>
        <w:tc>
          <w:tcPr>
            <w:tcW w:type="dxa" w:w="3360"/>
            <w:shd w:fill="0B3A53"/>
            <w:vAlign w:val="center"/>
            <w:tcMar>
              <w:top w:w="70" w:type="dxa"/>
              <w:start w:w="80" w:type="dxa"/>
              <w:bottom w:w="70" w:type="dxa"/>
              <w:end w:w="80" w:type="dxa"/>
            </w:tcMar>
          </w:tcPr>
          <w:p>
            <w:r>
              <w:rPr>
                <w:b/>
                <w:color w:val="FFFFFF"/>
                <w:sz w:val="16"/>
              </w:rPr>
              <w:t>Research interpretation</w:t>
            </w:r>
          </w:p>
        </w:tc>
      </w:tr>
      <w:tr>
        <w:tc>
          <w:tcPr>
            <w:tcW w:type="dxa" w:w="3360"/>
            <w:vAlign w:val="top"/>
            <w:tcMar>
              <w:top w:w="70" w:type="dxa"/>
              <w:start w:w="80" w:type="dxa"/>
              <w:bottom w:w="70" w:type="dxa"/>
              <w:end w:w="80" w:type="dxa"/>
            </w:tcMar>
          </w:tcPr>
          <w:p>
            <w:pPr>
              <w:spacing w:after="0"/>
            </w:pPr>
            <w:r>
              <w:rPr>
                <w:sz w:val="16"/>
              </w:rPr>
              <w:t>0 — Interest</w:t>
            </w:r>
          </w:p>
        </w:tc>
        <w:tc>
          <w:tcPr>
            <w:tcW w:type="dxa" w:w="3360"/>
            <w:vAlign w:val="top"/>
            <w:tcMar>
              <w:top w:w="70" w:type="dxa"/>
              <w:start w:w="80" w:type="dxa"/>
              <w:bottom w:w="70" w:type="dxa"/>
              <w:end w:w="80" w:type="dxa"/>
            </w:tcMar>
          </w:tcPr>
          <w:p>
            <w:pPr>
              <w:spacing w:after="0"/>
            </w:pPr>
            <w:r>
              <w:rPr>
                <w:sz w:val="16"/>
              </w:rPr>
              <w:t>Employer says the concept sounds valuable.</w:t>
            </w:r>
          </w:p>
        </w:tc>
        <w:tc>
          <w:tcPr>
            <w:tcW w:type="dxa" w:w="3360"/>
            <w:vAlign w:val="top"/>
            <w:tcMar>
              <w:top w:w="70" w:type="dxa"/>
              <w:start w:w="80" w:type="dxa"/>
              <w:bottom w:w="70" w:type="dxa"/>
              <w:end w:w="80" w:type="dxa"/>
            </w:tcMar>
          </w:tcPr>
          <w:p>
            <w:pPr>
              <w:spacing w:after="0"/>
            </w:pPr>
            <w:r>
              <w:rPr>
                <w:sz w:val="16"/>
              </w:rPr>
              <w:t>Insufficient demand evidence</w:t>
            </w:r>
          </w:p>
        </w:tc>
      </w:tr>
      <w:tr>
        <w:tc>
          <w:tcPr>
            <w:tcW w:type="dxa" w:w="3360"/>
            <w:vAlign w:val="top"/>
            <w:tcMar>
              <w:top w:w="70" w:type="dxa"/>
              <w:start w:w="80" w:type="dxa"/>
              <w:bottom w:w="70" w:type="dxa"/>
              <w:end w:w="80" w:type="dxa"/>
            </w:tcMar>
          </w:tcPr>
          <w:p>
            <w:pPr>
              <w:spacing w:after="0"/>
            </w:pPr>
            <w:r>
              <w:rPr>
                <w:sz w:val="16"/>
              </w:rPr>
              <w:t>1 — Advisory</w:t>
            </w:r>
          </w:p>
        </w:tc>
        <w:tc>
          <w:tcPr>
            <w:tcW w:type="dxa" w:w="3360"/>
            <w:vAlign w:val="top"/>
            <w:tcMar>
              <w:top w:w="70" w:type="dxa"/>
              <w:start w:w="80" w:type="dxa"/>
              <w:bottom w:w="70" w:type="dxa"/>
              <w:end w:w="80" w:type="dxa"/>
            </w:tcMar>
          </w:tcPr>
          <w:p>
            <w:pPr>
              <w:spacing w:after="0"/>
            </w:pPr>
            <w:r>
              <w:rPr>
                <w:sz w:val="16"/>
              </w:rPr>
              <w:t>Employer reviews curriculum or competencies.</w:t>
            </w:r>
          </w:p>
        </w:tc>
        <w:tc>
          <w:tcPr>
            <w:tcW w:type="dxa" w:w="3360"/>
            <w:vAlign w:val="top"/>
            <w:tcMar>
              <w:top w:w="70" w:type="dxa"/>
              <w:start w:w="80" w:type="dxa"/>
              <w:bottom w:w="70" w:type="dxa"/>
              <w:end w:w="80" w:type="dxa"/>
            </w:tcMar>
          </w:tcPr>
          <w:p>
            <w:pPr>
              <w:spacing w:after="0"/>
            </w:pPr>
            <w:r>
              <w:rPr>
                <w:sz w:val="16"/>
              </w:rPr>
              <w:t>Useful design input; not hiring demand</w:t>
            </w:r>
          </w:p>
        </w:tc>
      </w:tr>
      <w:tr>
        <w:tc>
          <w:tcPr>
            <w:tcW w:type="dxa" w:w="3360"/>
            <w:vAlign w:val="top"/>
            <w:tcMar>
              <w:top w:w="70" w:type="dxa"/>
              <w:start w:w="80" w:type="dxa"/>
              <w:bottom w:w="70" w:type="dxa"/>
              <w:end w:w="80" w:type="dxa"/>
            </w:tcMar>
          </w:tcPr>
          <w:p>
            <w:pPr>
              <w:spacing w:after="0"/>
            </w:pPr>
            <w:r>
              <w:rPr>
                <w:sz w:val="16"/>
              </w:rPr>
              <w:t>2 — Access</w:t>
            </w:r>
          </w:p>
        </w:tc>
        <w:tc>
          <w:tcPr>
            <w:tcW w:type="dxa" w:w="3360"/>
            <w:vAlign w:val="top"/>
            <w:tcMar>
              <w:top w:w="70" w:type="dxa"/>
              <w:start w:w="80" w:type="dxa"/>
              <w:bottom w:w="70" w:type="dxa"/>
              <w:end w:w="80" w:type="dxa"/>
            </w:tcMar>
          </w:tcPr>
          <w:p>
            <w:pPr>
              <w:spacing w:after="0"/>
            </w:pPr>
            <w:r>
              <w:rPr>
                <w:sz w:val="16"/>
              </w:rPr>
              <w:t>Employer commits to interviews, job fairs, or candidate review.</w:t>
            </w:r>
          </w:p>
        </w:tc>
        <w:tc>
          <w:tcPr>
            <w:tcW w:type="dxa" w:w="3360"/>
            <w:vAlign w:val="top"/>
            <w:tcMar>
              <w:top w:w="70" w:type="dxa"/>
              <w:start w:w="80" w:type="dxa"/>
              <w:bottom w:w="70" w:type="dxa"/>
              <w:end w:w="80" w:type="dxa"/>
            </w:tcMar>
          </w:tcPr>
          <w:p>
            <w:pPr>
              <w:spacing w:after="0"/>
            </w:pPr>
            <w:r>
              <w:rPr>
                <w:sz w:val="16"/>
              </w:rPr>
              <w:t>Initial demand signal</w:t>
            </w:r>
          </w:p>
        </w:tc>
      </w:tr>
      <w:tr>
        <w:tc>
          <w:tcPr>
            <w:tcW w:type="dxa" w:w="3360"/>
            <w:vAlign w:val="top"/>
            <w:tcMar>
              <w:top w:w="70" w:type="dxa"/>
              <w:start w:w="80" w:type="dxa"/>
              <w:bottom w:w="70" w:type="dxa"/>
              <w:end w:w="80" w:type="dxa"/>
            </w:tcMar>
          </w:tcPr>
          <w:p>
            <w:pPr>
              <w:spacing w:after="0"/>
            </w:pPr>
            <w:r>
              <w:rPr>
                <w:sz w:val="16"/>
              </w:rPr>
              <w:t>3 — Work-based learning</w:t>
            </w:r>
          </w:p>
        </w:tc>
        <w:tc>
          <w:tcPr>
            <w:tcW w:type="dxa" w:w="3360"/>
            <w:vAlign w:val="top"/>
            <w:tcMar>
              <w:top w:w="70" w:type="dxa"/>
              <w:start w:w="80" w:type="dxa"/>
              <w:bottom w:w="70" w:type="dxa"/>
              <w:end w:w="80" w:type="dxa"/>
            </w:tcMar>
          </w:tcPr>
          <w:p>
            <w:pPr>
              <w:spacing w:after="0"/>
            </w:pPr>
            <w:r>
              <w:rPr>
                <w:sz w:val="16"/>
              </w:rPr>
              <w:t>Employer offers job shadowing, simulations, internships/apprenticeship, paid experience, or structured exposure.</w:t>
            </w:r>
          </w:p>
        </w:tc>
        <w:tc>
          <w:tcPr>
            <w:tcW w:type="dxa" w:w="3360"/>
            <w:vAlign w:val="top"/>
            <w:tcMar>
              <w:top w:w="70" w:type="dxa"/>
              <w:start w:w="80" w:type="dxa"/>
              <w:bottom w:w="70" w:type="dxa"/>
              <w:end w:w="80" w:type="dxa"/>
            </w:tcMar>
          </w:tcPr>
          <w:p>
            <w:pPr>
              <w:spacing w:after="0"/>
            </w:pPr>
            <w:r>
              <w:rPr>
                <w:sz w:val="16"/>
              </w:rPr>
              <w:t>Stronger pathway integration</w:t>
            </w:r>
          </w:p>
        </w:tc>
      </w:tr>
      <w:tr>
        <w:tc>
          <w:tcPr>
            <w:tcW w:type="dxa" w:w="3360"/>
            <w:vAlign w:val="top"/>
            <w:tcMar>
              <w:top w:w="70" w:type="dxa"/>
              <w:start w:w="80" w:type="dxa"/>
              <w:bottom w:w="70" w:type="dxa"/>
              <w:end w:w="80" w:type="dxa"/>
            </w:tcMar>
          </w:tcPr>
          <w:p>
            <w:pPr>
              <w:spacing w:after="0"/>
            </w:pPr>
            <w:r>
              <w:rPr>
                <w:sz w:val="16"/>
              </w:rPr>
              <w:t>4 — Hiring / mobility commitment</w:t>
            </w:r>
          </w:p>
        </w:tc>
        <w:tc>
          <w:tcPr>
            <w:tcW w:type="dxa" w:w="3360"/>
            <w:vAlign w:val="top"/>
            <w:tcMar>
              <w:top w:w="70" w:type="dxa"/>
              <w:start w:w="80" w:type="dxa"/>
              <w:bottom w:w="70" w:type="dxa"/>
              <w:end w:w="80" w:type="dxa"/>
            </w:tcMar>
          </w:tcPr>
          <w:p>
            <w:pPr>
              <w:spacing w:after="0"/>
            </w:pPr>
            <w:r>
              <w:rPr>
                <w:sz w:val="16"/>
              </w:rPr>
              <w:t>Defined hiring targets, preferred consideration, internal pathway slots, or documented advancement mechanism.</w:t>
            </w:r>
          </w:p>
        </w:tc>
        <w:tc>
          <w:tcPr>
            <w:tcW w:type="dxa" w:w="3360"/>
            <w:vAlign w:val="top"/>
            <w:tcMar>
              <w:top w:w="70" w:type="dxa"/>
              <w:start w:w="80" w:type="dxa"/>
              <w:bottom w:w="70" w:type="dxa"/>
              <w:end w:w="80" w:type="dxa"/>
            </w:tcMar>
          </w:tcPr>
          <w:p>
            <w:pPr>
              <w:spacing w:after="0"/>
            </w:pPr>
            <w:r>
              <w:rPr>
                <w:sz w:val="16"/>
              </w:rPr>
              <w:t>Strong demand evidence</w:t>
            </w:r>
          </w:p>
        </w:tc>
      </w:tr>
      <w:tr>
        <w:tc>
          <w:tcPr>
            <w:tcW w:type="dxa" w:w="3360"/>
            <w:vAlign w:val="top"/>
            <w:tcMar>
              <w:top w:w="70" w:type="dxa"/>
              <w:start w:w="80" w:type="dxa"/>
              <w:bottom w:w="70" w:type="dxa"/>
              <w:end w:w="80" w:type="dxa"/>
            </w:tcMar>
          </w:tcPr>
          <w:p>
            <w:pPr>
              <w:spacing w:after="0"/>
            </w:pPr>
            <w:r>
              <w:rPr>
                <w:sz w:val="16"/>
              </w:rPr>
              <w:t>5 — Economic commitment</w:t>
            </w:r>
          </w:p>
        </w:tc>
        <w:tc>
          <w:tcPr>
            <w:tcW w:type="dxa" w:w="3360"/>
            <w:vAlign w:val="top"/>
            <w:tcMar>
              <w:top w:w="70" w:type="dxa"/>
              <w:start w:w="80" w:type="dxa"/>
              <w:bottom w:w="70" w:type="dxa"/>
              <w:end w:w="80" w:type="dxa"/>
            </w:tcMar>
          </w:tcPr>
          <w:p>
            <w:pPr>
              <w:spacing w:after="0"/>
            </w:pPr>
            <w:r>
              <w:rPr>
                <w:sz w:val="16"/>
              </w:rPr>
              <w:t>Employer funds seats, pays wage premium, reimburses credential, licenses curriculum, or co-invests in delivery/data evaluation.</w:t>
            </w:r>
          </w:p>
        </w:tc>
        <w:tc>
          <w:tcPr>
            <w:tcW w:type="dxa" w:w="3360"/>
            <w:vAlign w:val="top"/>
            <w:tcMar>
              <w:top w:w="70" w:type="dxa"/>
              <w:start w:w="80" w:type="dxa"/>
              <w:bottom w:w="70" w:type="dxa"/>
              <w:end w:w="80" w:type="dxa"/>
            </w:tcMar>
          </w:tcPr>
          <w:p>
            <w:pPr>
              <w:spacing w:after="0"/>
            </w:pPr>
            <w:r>
              <w:rPr>
                <w:sz w:val="16"/>
              </w:rPr>
              <w:t>Strongest economic-buyer validation</w:t>
            </w:r>
          </w:p>
        </w:tc>
      </w:tr>
    </w:tbl>
    <w:p>
      <w:pPr>
        <w:pStyle w:val="Heading1"/>
      </w:pPr>
      <w:r>
        <w:t>16. Pathway Success Is Multidimensional</w:t>
      </w:r>
    </w:p>
    <w:p>
      <w:r>
        <w:t>Study #006 will not define success solely as retention inside one employer. The pathway can create value through stable entry, skill growth, internal mobility, lateral specialization, wage progression, improved job quality, external mobility into stronger roles, or continued education. The success metric must match the stakeholder's legitimate objective and must be declared before outcome analysis.</w:t>
      </w:r>
    </w:p>
    <w:p>
      <w:pPr>
        <w:pStyle w:val="Heading1"/>
      </w:pPr>
      <w:r>
        <w:t>17. Equity and Access Safeguard</w:t>
      </w:r>
    </w:p>
    <w:p>
      <w:r>
        <w:t>Because ResolveCX aims to create opportunity, access is part of effectiveness—not a separate public-relations consideration. A pathway that produces strong outcomes for the few people able to access it but systematically excludes intended participants cannot be judged successful without qualification.</w:t>
      </w:r>
    </w:p>
    <w:p>
      <w:pPr>
        <w:pStyle w:val="ListBullet"/>
        <w:spacing w:after="30"/>
      </w:pPr>
      <w:r>
        <w:t>Track who learns about the pathway, applies, is admitted/recommended, begins, completes, interviews, is hired, advances, and exits.</w:t>
      </w:r>
    </w:p>
    <w:p>
      <w:pPr>
        <w:pStyle w:val="ListBullet"/>
        <w:spacing w:after="30"/>
      </w:pPr>
      <w:r>
        <w:t>Examine schedule compatibility, technology access, transportation where relevant, educational prerequisites, prior experience requirements, unpaid learning time, and manager-release practices.</w:t>
      </w:r>
    </w:p>
    <w:p>
      <w:pPr>
        <w:pStyle w:val="ListBullet"/>
        <w:spacing w:after="30"/>
      </w:pPr>
      <w:r>
        <w:t>Distinguish legitimate job requirements from unnecessary credential or experience barriers.</w:t>
      </w:r>
    </w:p>
    <w:p>
      <w:pPr>
        <w:pStyle w:val="ListBullet"/>
        <w:spacing w:after="30"/>
      </w:pPr>
      <w:r>
        <w:t>Do not use small subgroup differences as causal evidence without adequate sample size and design.</w:t>
      </w:r>
    </w:p>
    <w:p>
      <w:pPr>
        <w:pStyle w:val="Heading1"/>
      </w:pPr>
      <w:r>
        <w:t>18. Data Architecture</w:t>
      </w:r>
    </w:p>
    <w:p>
      <w:pPr>
        <w:pStyle w:val="ListBullet"/>
        <w:spacing w:after="30"/>
      </w:pPr>
      <w:r>
        <w:t>Level 1 — External evidence synthesis: mature career-development, internal-mobility, workforce-training, credential, and labor-market research.</w:t>
      </w:r>
    </w:p>
    <w:p>
      <w:pPr>
        <w:pStyle w:val="ListBullet"/>
        <w:spacing w:after="30"/>
      </w:pPr>
      <w:r>
        <w:t>Level 2 — Existing administrative data: community-college/workforce completion, placement, wages, employer HRIS mobility/retention, public labor-market data.</w:t>
      </w:r>
    </w:p>
    <w:p>
      <w:pPr>
        <w:pStyle w:val="ListBullet"/>
        <w:spacing w:after="30"/>
      </w:pPr>
      <w:r>
        <w:t>Level 3 — Targeted qualitative discovery: only unresolved mechanisms, barriers, employer decision rules, and pathway credibility.</w:t>
      </w:r>
    </w:p>
    <w:p>
      <w:pPr>
        <w:pStyle w:val="ListBullet"/>
        <w:spacing w:after="30"/>
      </w:pPr>
      <w:r>
        <w:t>Level 4 — Targeted survey modules: only constructs not adequately answered elsewhere.</w:t>
      </w:r>
    </w:p>
    <w:p>
      <w:pPr>
        <w:pStyle w:val="ListBullet"/>
        <w:spacing w:after="30"/>
      </w:pPr>
      <w:r>
        <w:t>Level 5 — Prospective pathway cohort: entry, completion, placement, proficiency, mobility, wages, job quality, retention and continued education.</w:t>
      </w:r>
    </w:p>
    <w:p>
      <w:pPr>
        <w:pStyle w:val="ListBullet"/>
        <w:spacing w:after="30"/>
      </w:pPr>
      <w:r>
        <w:t>Level 6 — Comparison evaluation: matched comparison, difference-in-differences, regression discontinuity, randomized encouragement, or other defensible design depending implementation.</w:t>
      </w:r>
    </w:p>
    <w:p>
      <w:pPr>
        <w:pStyle w:val="ListBullet"/>
        <w:spacing w:after="30"/>
      </w:pPr>
      <w:r>
        <w:t>Level 7 — Multi-employer replication and economic evaluation.</w:t>
      </w:r>
    </w:p>
    <w:p>
      <w:pPr>
        <w:pStyle w:val="Heading1"/>
      </w:pPr>
      <w:r>
        <w:t>19. Analysis Plan</w:t>
      </w:r>
    </w:p>
    <w:p>
      <w:pPr>
        <w:pStyle w:val="ListBullet"/>
        <w:spacing w:after="30"/>
      </w:pPr>
      <w:r>
        <w:t>Separate subjective opportunity perception from objective opportunity availability.</w:t>
      </w:r>
    </w:p>
    <w:p>
      <w:pPr>
        <w:pStyle w:val="ListBullet"/>
        <w:spacing w:after="30"/>
      </w:pPr>
      <w:r>
        <w:t>Model selection into training, application, hiring, and promotion; do not treat participants as randomly assigned.</w:t>
      </w:r>
    </w:p>
    <w:p>
      <w:pPr>
        <w:pStyle w:val="ListBullet"/>
        <w:spacing w:after="30"/>
      </w:pPr>
      <w:r>
        <w:t>Separate promotion from lateral mobility, specialization, external mobility, and continued education.</w:t>
      </w:r>
    </w:p>
    <w:p>
      <w:pPr>
        <w:pStyle w:val="ListBullet"/>
        <w:spacing w:after="30"/>
      </w:pPr>
      <w:r>
        <w:t>Analyze earnings/job-quality change, not just job titles.</w:t>
      </w:r>
    </w:p>
    <w:p>
      <w:pPr>
        <w:pStyle w:val="ListBullet"/>
        <w:spacing w:after="30"/>
      </w:pPr>
      <w:r>
        <w:t>Estimate incremental value of the pathway beyond prior experience, education, baseline performance, employer, labor market, supervisor, schedule and other relevant factors.</w:t>
      </w:r>
    </w:p>
    <w:p>
      <w:pPr>
        <w:pStyle w:val="ListBullet"/>
        <w:spacing w:after="30"/>
      </w:pPr>
      <w:r>
        <w:t>Where possible, use employer/team fixed effects or multilevel models for nested data.</w:t>
      </w:r>
    </w:p>
    <w:p>
      <w:pPr>
        <w:pStyle w:val="ListBullet"/>
        <w:spacing w:after="30"/>
      </w:pPr>
      <w:r>
        <w:t>Report heterogeneity by credential type, pathway type, employer, field, participant background and labor-market context.</w:t>
      </w:r>
    </w:p>
    <w:p>
      <w:pPr>
        <w:pStyle w:val="ListBullet"/>
        <w:spacing w:after="30"/>
      </w:pPr>
      <w:r>
        <w:t>Predefine outcomes and analysis before confirmatory testing; preserve null and adverse results.</w:t>
      </w:r>
    </w:p>
    <w:p>
      <w:pPr>
        <w:pStyle w:val="Heading1"/>
      </w:pPr>
      <w:r>
        <w:t>20. Claim Ladder</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6"/>
              </w:rPr>
              <w:t>Level</w:t>
            </w:r>
          </w:p>
        </w:tc>
        <w:tc>
          <w:tcPr>
            <w:tcW w:type="dxa" w:w="3360"/>
            <w:shd w:fill="0B3A53"/>
            <w:vAlign w:val="center"/>
            <w:tcMar>
              <w:top w:w="70" w:type="dxa"/>
              <w:start w:w="80" w:type="dxa"/>
              <w:bottom w:w="70" w:type="dxa"/>
              <w:end w:w="80" w:type="dxa"/>
            </w:tcMar>
          </w:tcPr>
          <w:p>
            <w:r>
              <w:rPr>
                <w:b/>
                <w:color w:val="FFFFFF"/>
                <w:sz w:val="16"/>
              </w:rPr>
              <w:t>Permitted claim</w:t>
            </w:r>
          </w:p>
        </w:tc>
        <w:tc>
          <w:tcPr>
            <w:tcW w:type="dxa" w:w="3360"/>
            <w:shd w:fill="0B3A53"/>
            <w:vAlign w:val="center"/>
            <w:tcMar>
              <w:top w:w="70" w:type="dxa"/>
              <w:start w:w="80" w:type="dxa"/>
              <w:bottom w:w="70" w:type="dxa"/>
              <w:end w:w="80" w:type="dxa"/>
            </w:tcMar>
          </w:tcPr>
          <w:p>
            <w:r>
              <w:rPr>
                <w:b/>
                <w:color w:val="FFFFFF"/>
                <w:sz w:val="16"/>
              </w:rPr>
              <w:t>Minimum evidence</w:t>
            </w:r>
          </w:p>
        </w:tc>
      </w:tr>
      <w:tr>
        <w:tc>
          <w:tcPr>
            <w:tcW w:type="dxa" w:w="3360"/>
            <w:vAlign w:val="top"/>
            <w:tcMar>
              <w:top w:w="70" w:type="dxa"/>
              <w:start w:w="80" w:type="dxa"/>
              <w:bottom w:w="70" w:type="dxa"/>
              <w:end w:w="80" w:type="dxa"/>
            </w:tcMar>
          </w:tcPr>
          <w:p>
            <w:pPr>
              <w:spacing w:after="0"/>
            </w:pPr>
            <w:r>
              <w:rPr>
                <w:sz w:val="16"/>
              </w:rPr>
              <w:t>0 — Observation</w:t>
            </w:r>
          </w:p>
        </w:tc>
        <w:tc>
          <w:tcPr>
            <w:tcW w:type="dxa" w:w="3360"/>
            <w:vAlign w:val="top"/>
            <w:tcMar>
              <w:top w:w="70" w:type="dxa"/>
              <w:start w:w="80" w:type="dxa"/>
              <w:bottom w:w="70" w:type="dxa"/>
              <w:end w:w="80" w:type="dxa"/>
            </w:tcMar>
          </w:tcPr>
          <w:p>
            <w:pPr>
              <w:spacing w:after="0"/>
            </w:pPr>
            <w:r>
              <w:rPr>
                <w:sz w:val="16"/>
              </w:rPr>
              <w:t>Participants or employers describe a pathway barrier/opportunity.</w:t>
            </w:r>
          </w:p>
        </w:tc>
        <w:tc>
          <w:tcPr>
            <w:tcW w:type="dxa" w:w="3360"/>
            <w:vAlign w:val="top"/>
            <w:tcMar>
              <w:top w:w="70" w:type="dxa"/>
              <w:start w:w="80" w:type="dxa"/>
              <w:bottom w:w="70" w:type="dxa"/>
              <w:end w:w="80" w:type="dxa"/>
            </w:tcMar>
          </w:tcPr>
          <w:p>
            <w:pPr>
              <w:spacing w:after="0"/>
            </w:pPr>
            <w:r>
              <w:rPr>
                <w:sz w:val="16"/>
              </w:rPr>
              <w:t>Exploratory evidence</w:t>
            </w:r>
          </w:p>
        </w:tc>
      </w:tr>
      <w:tr>
        <w:tc>
          <w:tcPr>
            <w:tcW w:type="dxa" w:w="3360"/>
            <w:vAlign w:val="top"/>
            <w:tcMar>
              <w:top w:w="70" w:type="dxa"/>
              <w:start w:w="80" w:type="dxa"/>
              <w:bottom w:w="70" w:type="dxa"/>
              <w:end w:w="80" w:type="dxa"/>
            </w:tcMar>
          </w:tcPr>
          <w:p>
            <w:pPr>
              <w:spacing w:after="0"/>
            </w:pPr>
            <w:r>
              <w:rPr>
                <w:sz w:val="16"/>
              </w:rPr>
              <w:t>1 — External foundation</w:t>
            </w:r>
          </w:p>
        </w:tc>
        <w:tc>
          <w:tcPr>
            <w:tcW w:type="dxa" w:w="3360"/>
            <w:vAlign w:val="top"/>
            <w:tcMar>
              <w:top w:w="70" w:type="dxa"/>
              <w:start w:w="80" w:type="dxa"/>
              <w:bottom w:w="70" w:type="dxa"/>
              <w:end w:w="80" w:type="dxa"/>
            </w:tcMar>
          </w:tcPr>
          <w:p>
            <w:pPr>
              <w:spacing w:after="0"/>
            </w:pPr>
            <w:r>
              <w:rPr>
                <w:sz w:val="16"/>
              </w:rPr>
              <w:t>Published evidence supports a general mechanism such as career adaptability or credential heterogeneity.</w:t>
            </w:r>
          </w:p>
        </w:tc>
        <w:tc>
          <w:tcPr>
            <w:tcW w:type="dxa" w:w="3360"/>
            <w:vAlign w:val="top"/>
            <w:tcMar>
              <w:top w:w="70" w:type="dxa"/>
              <w:start w:w="80" w:type="dxa"/>
              <w:bottom w:w="70" w:type="dxa"/>
              <w:end w:w="80" w:type="dxa"/>
            </w:tcMar>
          </w:tcPr>
          <w:p>
            <w:pPr>
              <w:spacing w:after="0"/>
            </w:pPr>
            <w:r>
              <w:rPr>
                <w:sz w:val="16"/>
              </w:rPr>
              <w:t>High-quality external evidence</w:t>
            </w:r>
          </w:p>
        </w:tc>
      </w:tr>
      <w:tr>
        <w:tc>
          <w:tcPr>
            <w:tcW w:type="dxa" w:w="3360"/>
            <w:vAlign w:val="top"/>
            <w:tcMar>
              <w:top w:w="70" w:type="dxa"/>
              <w:start w:w="80" w:type="dxa"/>
              <w:bottom w:w="70" w:type="dxa"/>
              <w:end w:w="80" w:type="dxa"/>
            </w:tcMar>
          </w:tcPr>
          <w:p>
            <w:pPr>
              <w:spacing w:after="0"/>
            </w:pPr>
            <w:r>
              <w:rPr>
                <w:sz w:val="16"/>
              </w:rPr>
              <w:t>2 — Association</w:t>
            </w:r>
          </w:p>
        </w:tc>
        <w:tc>
          <w:tcPr>
            <w:tcW w:type="dxa" w:w="3360"/>
            <w:vAlign w:val="top"/>
            <w:tcMar>
              <w:top w:w="70" w:type="dxa"/>
              <w:start w:w="80" w:type="dxa"/>
              <w:bottom w:w="70" w:type="dxa"/>
              <w:end w:w="80" w:type="dxa"/>
            </w:tcMar>
          </w:tcPr>
          <w:p>
            <w:pPr>
              <w:spacing w:after="0"/>
            </w:pPr>
            <w:r>
              <w:rPr>
                <w:sz w:val="16"/>
              </w:rPr>
              <w:t>Pathway exposure/visibility is associated with outcome Y in a defined sample.</w:t>
            </w:r>
          </w:p>
        </w:tc>
        <w:tc>
          <w:tcPr>
            <w:tcW w:type="dxa" w:w="3360"/>
            <w:vAlign w:val="top"/>
            <w:tcMar>
              <w:top w:w="70" w:type="dxa"/>
              <w:start w:w="80" w:type="dxa"/>
              <w:bottom w:w="70" w:type="dxa"/>
              <w:end w:w="80" w:type="dxa"/>
            </w:tcMar>
          </w:tcPr>
          <w:p>
            <w:pPr>
              <w:spacing w:after="0"/>
            </w:pPr>
            <w:r>
              <w:rPr>
                <w:sz w:val="16"/>
              </w:rPr>
              <w:t>Adequate observational data + controls</w:t>
            </w:r>
          </w:p>
        </w:tc>
      </w:tr>
      <w:tr>
        <w:tc>
          <w:tcPr>
            <w:tcW w:type="dxa" w:w="3360"/>
            <w:vAlign w:val="top"/>
            <w:tcMar>
              <w:top w:w="70" w:type="dxa"/>
              <w:start w:w="80" w:type="dxa"/>
              <w:bottom w:w="70" w:type="dxa"/>
              <w:end w:w="80" w:type="dxa"/>
            </w:tcMar>
          </w:tcPr>
          <w:p>
            <w:pPr>
              <w:spacing w:after="0"/>
            </w:pPr>
            <w:r>
              <w:rPr>
                <w:sz w:val="16"/>
              </w:rPr>
              <w:t>3 — Prospective prediction</w:t>
            </w:r>
          </w:p>
        </w:tc>
        <w:tc>
          <w:tcPr>
            <w:tcW w:type="dxa" w:w="3360"/>
            <w:vAlign w:val="top"/>
            <w:tcMar>
              <w:top w:w="70" w:type="dxa"/>
              <w:start w:w="80" w:type="dxa"/>
              <w:bottom w:w="70" w:type="dxa"/>
              <w:end w:w="80" w:type="dxa"/>
            </w:tcMar>
          </w:tcPr>
          <w:p>
            <w:pPr>
              <w:spacing w:after="0"/>
            </w:pPr>
            <w:r>
              <w:rPr>
                <w:sz w:val="16"/>
              </w:rPr>
              <w:t>Pathway factors predict later mobility/economic outcomes.</w:t>
            </w:r>
          </w:p>
        </w:tc>
        <w:tc>
          <w:tcPr>
            <w:tcW w:type="dxa" w:w="3360"/>
            <w:vAlign w:val="top"/>
            <w:tcMar>
              <w:top w:w="70" w:type="dxa"/>
              <w:start w:w="80" w:type="dxa"/>
              <w:bottom w:w="70" w:type="dxa"/>
              <w:end w:w="80" w:type="dxa"/>
            </w:tcMar>
          </w:tcPr>
          <w:p>
            <w:pPr>
              <w:spacing w:after="0"/>
            </w:pPr>
            <w:r>
              <w:rPr>
                <w:sz w:val="16"/>
              </w:rPr>
              <w:t>Longitudinal data</w:t>
            </w:r>
          </w:p>
        </w:tc>
      </w:tr>
      <w:tr>
        <w:tc>
          <w:tcPr>
            <w:tcW w:type="dxa" w:w="3360"/>
            <w:vAlign w:val="top"/>
            <w:tcMar>
              <w:top w:w="70" w:type="dxa"/>
              <w:start w:w="80" w:type="dxa"/>
              <w:bottom w:w="70" w:type="dxa"/>
              <w:end w:w="80" w:type="dxa"/>
            </w:tcMar>
          </w:tcPr>
          <w:p>
            <w:pPr>
              <w:spacing w:after="0"/>
            </w:pPr>
            <w:r>
              <w:rPr>
                <w:sz w:val="16"/>
              </w:rPr>
              <w:t>4 — Comparative effect</w:t>
            </w:r>
          </w:p>
        </w:tc>
        <w:tc>
          <w:tcPr>
            <w:tcW w:type="dxa" w:w="3360"/>
            <w:vAlign w:val="top"/>
            <w:tcMar>
              <w:top w:w="70" w:type="dxa"/>
              <w:start w:w="80" w:type="dxa"/>
              <w:bottom w:w="70" w:type="dxa"/>
              <w:end w:w="80" w:type="dxa"/>
            </w:tcMar>
          </w:tcPr>
          <w:p>
            <w:pPr>
              <w:spacing w:after="0"/>
            </w:pPr>
            <w:r>
              <w:rPr>
                <w:sz w:val="16"/>
              </w:rPr>
              <w:t>ResolveCX pathway participants outperform a credible comparison on prespecified outcomes.</w:t>
            </w:r>
          </w:p>
        </w:tc>
        <w:tc>
          <w:tcPr>
            <w:tcW w:type="dxa" w:w="3360"/>
            <w:vAlign w:val="top"/>
            <w:tcMar>
              <w:top w:w="70" w:type="dxa"/>
              <w:start w:w="80" w:type="dxa"/>
              <w:bottom w:w="70" w:type="dxa"/>
              <w:end w:w="80" w:type="dxa"/>
            </w:tcMar>
          </w:tcPr>
          <w:p>
            <w:pPr>
              <w:spacing w:after="0"/>
            </w:pPr>
            <w:r>
              <w:rPr>
                <w:sz w:val="16"/>
              </w:rPr>
              <w:t>Strong quasi-experimental or experimental design</w:t>
            </w:r>
          </w:p>
        </w:tc>
      </w:tr>
      <w:tr>
        <w:tc>
          <w:tcPr>
            <w:tcW w:type="dxa" w:w="3360"/>
            <w:vAlign w:val="top"/>
            <w:tcMar>
              <w:top w:w="70" w:type="dxa"/>
              <w:start w:w="80" w:type="dxa"/>
              <w:bottom w:w="70" w:type="dxa"/>
              <w:end w:w="80" w:type="dxa"/>
            </w:tcMar>
          </w:tcPr>
          <w:p>
            <w:pPr>
              <w:spacing w:after="0"/>
            </w:pPr>
            <w:r>
              <w:rPr>
                <w:sz w:val="16"/>
              </w:rPr>
              <w:t>5 — Replication</w:t>
            </w:r>
          </w:p>
        </w:tc>
        <w:tc>
          <w:tcPr>
            <w:tcW w:type="dxa" w:w="3360"/>
            <w:vAlign w:val="top"/>
            <w:tcMar>
              <w:top w:w="70" w:type="dxa"/>
              <w:start w:w="80" w:type="dxa"/>
              <w:bottom w:w="70" w:type="dxa"/>
              <w:end w:w="80" w:type="dxa"/>
            </w:tcMar>
          </w:tcPr>
          <w:p>
            <w:pPr>
              <w:spacing w:after="0"/>
            </w:pPr>
            <w:r>
              <w:rPr>
                <w:sz w:val="16"/>
              </w:rPr>
              <w:t>Effects recur across employers/regions/populations.</w:t>
            </w:r>
          </w:p>
        </w:tc>
        <w:tc>
          <w:tcPr>
            <w:tcW w:type="dxa" w:w="3360"/>
            <w:vAlign w:val="top"/>
            <w:tcMar>
              <w:top w:w="70" w:type="dxa"/>
              <w:start w:w="80" w:type="dxa"/>
              <w:bottom w:w="70" w:type="dxa"/>
              <w:end w:w="80" w:type="dxa"/>
            </w:tcMar>
          </w:tcPr>
          <w:p>
            <w:pPr>
              <w:spacing w:after="0"/>
            </w:pPr>
            <w:r>
              <w:rPr>
                <w:sz w:val="16"/>
              </w:rPr>
              <w:t>Multi-site replication</w:t>
            </w:r>
          </w:p>
        </w:tc>
      </w:tr>
      <w:tr>
        <w:tc>
          <w:tcPr>
            <w:tcW w:type="dxa" w:w="3360"/>
            <w:vAlign w:val="top"/>
            <w:tcMar>
              <w:top w:w="70" w:type="dxa"/>
              <w:start w:w="80" w:type="dxa"/>
              <w:bottom w:w="70" w:type="dxa"/>
              <w:end w:w="80" w:type="dxa"/>
            </w:tcMar>
          </w:tcPr>
          <w:p>
            <w:pPr>
              <w:spacing w:after="0"/>
            </w:pPr>
            <w:r>
              <w:rPr>
                <w:sz w:val="16"/>
              </w:rPr>
              <w:t>6 — Economic value</w:t>
            </w:r>
          </w:p>
        </w:tc>
        <w:tc>
          <w:tcPr>
            <w:tcW w:type="dxa" w:w="3360"/>
            <w:vAlign w:val="top"/>
            <w:tcMar>
              <w:top w:w="70" w:type="dxa"/>
              <w:start w:w="80" w:type="dxa"/>
              <w:bottom w:w="70" w:type="dxa"/>
              <w:end w:w="80" w:type="dxa"/>
            </w:tcMar>
          </w:tcPr>
          <w:p>
            <w:pPr>
              <w:spacing w:after="0"/>
            </w:pPr>
            <w:r>
              <w:rPr>
                <w:sz w:val="16"/>
              </w:rPr>
              <w:t>Pathway creates measurable value relative to cost for participants and/or economic buyers.</w:t>
            </w:r>
          </w:p>
        </w:tc>
        <w:tc>
          <w:tcPr>
            <w:tcW w:type="dxa" w:w="3360"/>
            <w:vAlign w:val="top"/>
            <w:tcMar>
              <w:top w:w="70" w:type="dxa"/>
              <w:start w:w="80" w:type="dxa"/>
              <w:bottom w:w="70" w:type="dxa"/>
              <w:end w:w="80" w:type="dxa"/>
            </w:tcMar>
          </w:tcPr>
          <w:p>
            <w:pPr>
              <w:spacing w:after="0"/>
            </w:pPr>
            <w:r>
              <w:rPr>
                <w:sz w:val="16"/>
              </w:rPr>
              <w:t>Validated outcomes + cost/benefit analysis</w:t>
            </w:r>
          </w:p>
        </w:tc>
      </w:tr>
    </w:tbl>
    <w:p>
      <w:pPr>
        <w:pStyle w:val="Heading1"/>
      </w:pPr>
      <w:r>
        <w:t>21. ResolveCX Proof Boundary</w:t>
      </w:r>
    </w:p>
    <w:p>
      <w:r>
        <w:t>External evidence can establish that career adaptability, internal mobility, job embeddedness, recognized credentials, apprenticeships, or community-college awards can matter under certain conditions. It cannot establish that the ResolveCX pathway causes better outcomes. ResolveCX effectiveness claims require direct evaluation of the actual intervention, participants, employer commitments, and outcomes.</w:t>
      </w:r>
    </w:p>
    <w:p>
      <w:pPr>
        <w:pStyle w:val="Heading1"/>
      </w:pPr>
      <w:r>
        <w:t>22. Ongoing Research Publication Language</w:t>
      </w:r>
    </w:p>
    <w:p>
      <w:r>
        <w:t>Research Status: Ongoing. Existing evidence establishes the foundation for several questions in Study #006, while other questions remain unresolved or ResolveCX-specific. ResolveCX will update the study as external evidence, employer commitments, administrative outcomes, targeted primary research, and pathway evaluation accumulate. Preliminary observations will not be represented as final industry-wide conclusions.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shd w:fill="0B3A53"/>
            <w:vAlign w:val="center"/>
            <w:tcMar>
              <w:top w:w="70" w:type="dxa"/>
              <w:start w:w="80" w:type="dxa"/>
              <w:bottom w:w="70" w:type="dxa"/>
              <w:end w:w="80" w:type="dxa"/>
            </w:tcMar>
          </w:tcPr>
          <w:p>
            <w:r>
              <w:rPr>
                <w:b/>
                <w:color w:val="FFFFFF"/>
                <w:sz w:val="16"/>
              </w:rPr>
              <w:t>Public finding status</w:t>
            </w:r>
          </w:p>
        </w:tc>
        <w:tc>
          <w:tcPr>
            <w:tcW w:type="dxa" w:w="5040"/>
            <w:shd w:fill="0B3A53"/>
            <w:vAlign w:val="center"/>
            <w:tcMar>
              <w:top w:w="70" w:type="dxa"/>
              <w:start w:w="80" w:type="dxa"/>
              <w:bottom w:w="70" w:type="dxa"/>
              <w:end w:w="80" w:type="dxa"/>
            </w:tcMar>
          </w:tcPr>
          <w:p>
            <w:r>
              <w:rPr>
                <w:b/>
                <w:color w:val="FFFFFF"/>
                <w:sz w:val="16"/>
              </w:rPr>
              <w:t>Meaning</w:t>
            </w:r>
          </w:p>
        </w:tc>
      </w:tr>
      <w:tr>
        <w:tc>
          <w:tcPr>
            <w:tcW w:type="dxa" w:w="5040"/>
            <w:vAlign w:val="top"/>
            <w:tcMar>
              <w:top w:w="70" w:type="dxa"/>
              <w:start w:w="80" w:type="dxa"/>
              <w:bottom w:w="70" w:type="dxa"/>
              <w:end w:w="80" w:type="dxa"/>
            </w:tcMar>
          </w:tcPr>
          <w:p>
            <w:pPr>
              <w:spacing w:after="0"/>
            </w:pPr>
            <w:r>
              <w:rPr>
                <w:sz w:val="16"/>
              </w:rPr>
              <w:t>Established external evidence</w:t>
            </w:r>
          </w:p>
        </w:tc>
        <w:tc>
          <w:tcPr>
            <w:tcW w:type="dxa" w:w="5040"/>
            <w:vAlign w:val="top"/>
            <w:tcMar>
              <w:top w:w="70" w:type="dxa"/>
              <w:start w:w="80" w:type="dxa"/>
              <w:bottom w:w="70" w:type="dxa"/>
              <w:end w:w="80" w:type="dxa"/>
            </w:tcMar>
          </w:tcPr>
          <w:p>
            <w:pPr>
              <w:spacing w:after="0"/>
            </w:pPr>
            <w:r>
              <w:rPr>
                <w:sz w:val="16"/>
              </w:rPr>
              <w:t>Strong prior evidence supports the general relationship; not a ResolveCX finding.</w:t>
            </w:r>
          </w:p>
        </w:tc>
      </w:tr>
      <w:tr>
        <w:tc>
          <w:tcPr>
            <w:tcW w:type="dxa" w:w="5040"/>
            <w:vAlign w:val="top"/>
            <w:tcMar>
              <w:top w:w="70" w:type="dxa"/>
              <w:start w:w="80" w:type="dxa"/>
              <w:bottom w:w="70" w:type="dxa"/>
              <w:end w:w="80" w:type="dxa"/>
            </w:tcMar>
          </w:tcPr>
          <w:p>
            <w:pPr>
              <w:spacing w:after="0"/>
            </w:pPr>
            <w:r>
              <w:rPr>
                <w:sz w:val="16"/>
              </w:rPr>
              <w:t>Unresolved / evidence gap</w:t>
            </w:r>
          </w:p>
        </w:tc>
        <w:tc>
          <w:tcPr>
            <w:tcW w:type="dxa" w:w="5040"/>
            <w:vAlign w:val="top"/>
            <w:tcMar>
              <w:top w:w="70" w:type="dxa"/>
              <w:start w:w="80" w:type="dxa"/>
              <w:bottom w:w="70" w:type="dxa"/>
              <w:end w:w="80" w:type="dxa"/>
            </w:tcMar>
          </w:tcPr>
          <w:p>
            <w:pPr>
              <w:spacing w:after="0"/>
            </w:pPr>
            <w:r>
              <w:rPr>
                <w:sz w:val="16"/>
              </w:rPr>
              <w:t>Existing evidence is insufficient for the decision.</w:t>
            </w:r>
          </w:p>
        </w:tc>
      </w:tr>
      <w:tr>
        <w:tc>
          <w:tcPr>
            <w:tcW w:type="dxa" w:w="5040"/>
            <w:vAlign w:val="top"/>
            <w:tcMar>
              <w:top w:w="70" w:type="dxa"/>
              <w:start w:w="80" w:type="dxa"/>
              <w:bottom w:w="70" w:type="dxa"/>
              <w:end w:w="80" w:type="dxa"/>
            </w:tcMar>
          </w:tcPr>
          <w:p>
            <w:pPr>
              <w:spacing w:after="0"/>
            </w:pPr>
            <w:r>
              <w:rPr>
                <w:sz w:val="16"/>
              </w:rPr>
              <w:t>ResolveCX-specific test required</w:t>
            </w:r>
          </w:p>
        </w:tc>
        <w:tc>
          <w:tcPr>
            <w:tcW w:type="dxa" w:w="5040"/>
            <w:vAlign w:val="top"/>
            <w:tcMar>
              <w:top w:w="70" w:type="dxa"/>
              <w:start w:w="80" w:type="dxa"/>
              <w:bottom w:w="70" w:type="dxa"/>
              <w:end w:w="80" w:type="dxa"/>
            </w:tcMar>
          </w:tcPr>
          <w:p>
            <w:pPr>
              <w:spacing w:after="0"/>
            </w:pPr>
            <w:r>
              <w:rPr>
                <w:sz w:val="16"/>
              </w:rPr>
              <w:t>General theory exists, but the intervention/pathway is untested.</w:t>
            </w:r>
          </w:p>
        </w:tc>
      </w:tr>
      <w:tr>
        <w:tc>
          <w:tcPr>
            <w:tcW w:type="dxa" w:w="5040"/>
            <w:vAlign w:val="top"/>
            <w:tcMar>
              <w:top w:w="70" w:type="dxa"/>
              <w:start w:w="80" w:type="dxa"/>
              <w:bottom w:w="70" w:type="dxa"/>
              <w:end w:w="80" w:type="dxa"/>
            </w:tcMar>
          </w:tcPr>
          <w:p>
            <w:pPr>
              <w:spacing w:after="0"/>
            </w:pPr>
            <w:r>
              <w:rPr>
                <w:sz w:val="16"/>
              </w:rPr>
              <w:t>Preliminary</w:t>
            </w:r>
          </w:p>
        </w:tc>
        <w:tc>
          <w:tcPr>
            <w:tcW w:type="dxa" w:w="5040"/>
            <w:vAlign w:val="top"/>
            <w:tcMar>
              <w:top w:w="70" w:type="dxa"/>
              <w:start w:w="80" w:type="dxa"/>
              <w:bottom w:w="70" w:type="dxa"/>
              <w:end w:w="80" w:type="dxa"/>
            </w:tcMar>
          </w:tcPr>
          <w:p>
            <w:pPr>
              <w:spacing w:after="0"/>
            </w:pPr>
            <w:r>
              <w:rPr>
                <w:sz w:val="16"/>
              </w:rPr>
              <w:t>Pattern observed but not yet sufficiently validated.</w:t>
            </w:r>
          </w:p>
        </w:tc>
      </w:tr>
      <w:tr>
        <w:tc>
          <w:tcPr>
            <w:tcW w:type="dxa" w:w="5040"/>
            <w:vAlign w:val="top"/>
            <w:tcMar>
              <w:top w:w="70" w:type="dxa"/>
              <w:start w:w="80" w:type="dxa"/>
              <w:bottom w:w="70" w:type="dxa"/>
              <w:end w:w="80" w:type="dxa"/>
            </w:tcMar>
          </w:tcPr>
          <w:p>
            <w:pPr>
              <w:spacing w:after="0"/>
            </w:pPr>
            <w:r>
              <w:rPr>
                <w:sz w:val="16"/>
              </w:rPr>
              <w:t>Supported / mixed / not supported</w:t>
            </w:r>
          </w:p>
        </w:tc>
        <w:tc>
          <w:tcPr>
            <w:tcW w:type="dxa" w:w="5040"/>
            <w:vAlign w:val="top"/>
            <w:tcMar>
              <w:top w:w="70" w:type="dxa"/>
              <w:start w:w="80" w:type="dxa"/>
              <w:bottom w:w="70" w:type="dxa"/>
              <w:end w:w="80" w:type="dxa"/>
            </w:tcMar>
          </w:tcPr>
          <w:p>
            <w:pPr>
              <w:spacing w:after="0"/>
            </w:pPr>
            <w:r>
              <w:rPr>
                <w:sz w:val="16"/>
              </w:rPr>
              <w:t>Assigned after planned analysis.</w:t>
            </w:r>
          </w:p>
        </w:tc>
      </w:tr>
      <w:tr>
        <w:tc>
          <w:tcPr>
            <w:tcW w:type="dxa" w:w="5040"/>
            <w:vAlign w:val="top"/>
            <w:tcMar>
              <w:top w:w="70" w:type="dxa"/>
              <w:start w:w="80" w:type="dxa"/>
              <w:bottom w:w="70" w:type="dxa"/>
              <w:end w:w="80" w:type="dxa"/>
            </w:tcMar>
          </w:tcPr>
          <w:p>
            <w:pPr>
              <w:spacing w:after="0"/>
            </w:pPr>
            <w:r>
              <w:rPr>
                <w:sz w:val="16"/>
              </w:rPr>
              <w:t>Replicated / validated</w:t>
            </w:r>
          </w:p>
        </w:tc>
        <w:tc>
          <w:tcPr>
            <w:tcW w:type="dxa" w:w="5040"/>
            <w:vAlign w:val="top"/>
            <w:tcMar>
              <w:top w:w="70" w:type="dxa"/>
              <w:start w:w="80" w:type="dxa"/>
              <w:bottom w:w="70" w:type="dxa"/>
              <w:end w:w="80" w:type="dxa"/>
            </w:tcMar>
          </w:tcPr>
          <w:p>
            <w:pPr>
              <w:spacing w:after="0"/>
            </w:pPr>
            <w:r>
              <w:rPr>
                <w:sz w:val="16"/>
              </w:rPr>
              <w:t>Reserved for multi-setting evidence meeting protocol standards.</w:t>
            </w:r>
          </w:p>
        </w:tc>
      </w:tr>
    </w:tbl>
    <w:p>
      <w:pPr>
        <w:pStyle w:val="Heading1"/>
      </w:pPr>
      <w:r>
        <w:t>23. Research Quality and Release Standards</w:t>
      </w:r>
    </w:p>
    <w:p>
      <w:pPr>
        <w:pStyle w:val="ListBullet"/>
        <w:spacing w:after="30"/>
      </w:pPr>
      <w:r>
        <w:t>Evidence sufficiency—not arbitrary interview, survey, or citation quotas—governs research decisions.</w:t>
      </w:r>
    </w:p>
    <w:p>
      <w:pPr>
        <w:pStyle w:val="ListBullet"/>
        <w:spacing w:after="30"/>
      </w:pPr>
      <w:r>
        <w:t>Do not equate career maps with real mobility.</w:t>
      </w:r>
    </w:p>
    <w:p>
      <w:pPr>
        <w:pStyle w:val="ListBullet"/>
        <w:spacing w:after="30"/>
      </w:pPr>
      <w:r>
        <w:t>Do not equate retention with participant success.</w:t>
      </w:r>
    </w:p>
    <w:p>
      <w:pPr>
        <w:pStyle w:val="ListBullet"/>
        <w:spacing w:after="30"/>
      </w:pPr>
      <w:r>
        <w:t>Do not equate credential completion with economic value.</w:t>
      </w:r>
    </w:p>
    <w:p>
      <w:pPr>
        <w:pStyle w:val="ListBullet"/>
        <w:spacing w:after="30"/>
      </w:pPr>
      <w:r>
        <w:t>Do not infer pathway effects from self-selection into the program.</w:t>
      </w:r>
    </w:p>
    <w:p>
      <w:pPr>
        <w:pStyle w:val="ListBullet"/>
        <w:spacing w:after="30"/>
      </w:pPr>
      <w:r>
        <w:t>Separate employee career agency from employer opportunity.</w:t>
      </w:r>
    </w:p>
    <w:p>
      <w:pPr>
        <w:pStyle w:val="ListBullet"/>
        <w:spacing w:after="30"/>
      </w:pPr>
      <w:r>
        <w:t>Require objective employment/mobility/economic outcomes where feasible.</w:t>
      </w:r>
    </w:p>
    <w:p>
      <w:pPr>
        <w:pStyle w:val="ListBullet"/>
        <w:spacing w:after="30"/>
      </w:pPr>
      <w:r>
        <w:t>Actively seek contradictory evidence and weak/negative credential returns.</w:t>
      </w:r>
    </w:p>
    <w:p>
      <w:pPr>
        <w:pStyle w:val="ListBullet"/>
        <w:spacing w:after="30"/>
      </w:pPr>
      <w:r>
        <w:t>Treat employer commitment as observable behavior, not verbal enthusiasm.</w:t>
      </w:r>
    </w:p>
    <w:p>
      <w:pPr>
        <w:pStyle w:val="ListBullet"/>
        <w:spacing w:after="30"/>
      </w:pPr>
      <w:r>
        <w:t>Require direct ResolveCX evaluation before effectiveness or ROI claims.</w:t>
      </w:r>
    </w:p>
    <w:p>
      <w:pPr>
        <w:pStyle w:val="ListBullet"/>
        <w:spacing w:after="30"/>
      </w:pPr>
      <w:r>
        <w:t>Require replication before broad industry-wide portability claims.</w:t>
      </w:r>
    </w:p>
    <w:p>
      <w:pPr>
        <w:pStyle w:val="Heading1"/>
      </w:pPr>
      <w:r>
        <w:t>24. Initial Evidence Registry — Study #006</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shd w:fill="0B3A53"/>
            <w:vAlign w:val="center"/>
            <w:tcMar>
              <w:top w:w="70" w:type="dxa"/>
              <w:start w:w="80" w:type="dxa"/>
              <w:bottom w:w="70" w:type="dxa"/>
              <w:end w:w="80" w:type="dxa"/>
            </w:tcMar>
          </w:tcPr>
          <w:p>
            <w:r>
              <w:rPr>
                <w:b/>
                <w:color w:val="FFFFFF"/>
                <w:sz w:val="14"/>
              </w:rPr>
              <w:t>Source</w:t>
            </w:r>
          </w:p>
        </w:tc>
        <w:tc>
          <w:tcPr>
            <w:tcW w:type="dxa" w:w="3360"/>
            <w:shd w:fill="0B3A53"/>
            <w:vAlign w:val="center"/>
            <w:tcMar>
              <w:top w:w="70" w:type="dxa"/>
              <w:start w:w="80" w:type="dxa"/>
              <w:bottom w:w="70" w:type="dxa"/>
              <w:end w:w="80" w:type="dxa"/>
            </w:tcMar>
          </w:tcPr>
          <w:p>
            <w:r>
              <w:rPr>
                <w:b/>
                <w:color w:val="FFFFFF"/>
                <w:sz w:val="14"/>
              </w:rPr>
              <w:t>Evidence type</w:t>
            </w:r>
          </w:p>
        </w:tc>
        <w:tc>
          <w:tcPr>
            <w:tcW w:type="dxa" w:w="3360"/>
            <w:shd w:fill="0B3A53"/>
            <w:vAlign w:val="center"/>
            <w:tcMar>
              <w:top w:w="70" w:type="dxa"/>
              <w:start w:w="80" w:type="dxa"/>
              <w:bottom w:w="70" w:type="dxa"/>
              <w:end w:w="80" w:type="dxa"/>
            </w:tcMar>
          </w:tcPr>
          <w:p>
            <w:r>
              <w:rPr>
                <w:b/>
                <w:color w:val="FFFFFF"/>
                <w:sz w:val="14"/>
              </w:rPr>
              <w:t>Locator</w:t>
            </w:r>
          </w:p>
        </w:tc>
      </w:tr>
      <w:tr>
        <w:tc>
          <w:tcPr>
            <w:tcW w:type="dxa" w:w="3360"/>
            <w:vAlign w:val="top"/>
            <w:tcMar>
              <w:top w:w="70" w:type="dxa"/>
              <w:start w:w="80" w:type="dxa"/>
              <w:bottom w:w="70" w:type="dxa"/>
              <w:end w:w="80" w:type="dxa"/>
            </w:tcMar>
          </w:tcPr>
          <w:p>
            <w:pPr>
              <w:spacing w:after="0"/>
            </w:pPr>
            <w:r>
              <w:rPr>
                <w:sz w:val="14"/>
              </w:rPr>
              <w:t>U.S. Bureau of Labor Statistics. Customer Service Representatives. Occupational Outlook Handbook, updated 2026.</w:t>
            </w:r>
          </w:p>
        </w:tc>
        <w:tc>
          <w:tcPr>
            <w:tcW w:type="dxa" w:w="3360"/>
            <w:vAlign w:val="top"/>
            <w:tcMar>
              <w:top w:w="70" w:type="dxa"/>
              <w:start w:w="80" w:type="dxa"/>
              <w:bottom w:w="70" w:type="dxa"/>
              <w:end w:w="80" w:type="dxa"/>
            </w:tcMar>
          </w:tcPr>
          <w:p>
            <w:pPr>
              <w:spacing w:after="0"/>
            </w:pPr>
            <w:r>
              <w:rPr>
                <w:sz w:val="14"/>
              </w:rPr>
              <w:t>Government/public data</w:t>
            </w:r>
          </w:p>
        </w:tc>
        <w:tc>
          <w:tcPr>
            <w:tcW w:type="dxa" w:w="3360"/>
            <w:vAlign w:val="top"/>
            <w:tcMar>
              <w:top w:w="70" w:type="dxa"/>
              <w:start w:w="80" w:type="dxa"/>
              <w:bottom w:w="70" w:type="dxa"/>
              <w:end w:w="80" w:type="dxa"/>
            </w:tcMar>
          </w:tcPr>
          <w:p>
            <w:pPr>
              <w:spacing w:after="0"/>
            </w:pPr>
            <w:r>
              <w:rPr>
                <w:sz w:val="14"/>
              </w:rPr>
              <w:t>https://www.bls.gov/ooh/office-and-administrative-support/customer-service-representatives.htm</w:t>
            </w:r>
          </w:p>
        </w:tc>
      </w:tr>
      <w:tr>
        <w:tc>
          <w:tcPr>
            <w:tcW w:type="dxa" w:w="3360"/>
            <w:vAlign w:val="top"/>
            <w:tcMar>
              <w:top w:w="70" w:type="dxa"/>
              <w:start w:w="80" w:type="dxa"/>
              <w:bottom w:w="70" w:type="dxa"/>
              <w:end w:w="80" w:type="dxa"/>
            </w:tcMar>
          </w:tcPr>
          <w:p>
            <w:pPr>
              <w:spacing w:after="0"/>
            </w:pPr>
            <w:r>
              <w:rPr>
                <w:sz w:val="14"/>
              </w:rPr>
              <w:t>Rudolph, C.W., Lavigne, K.N., &amp; Zacher, H. (2017). Career adaptability: A meta-analysis. Journal of Vocational Behavior, 98, 17–34.</w:t>
            </w:r>
          </w:p>
        </w:tc>
        <w:tc>
          <w:tcPr>
            <w:tcW w:type="dxa" w:w="3360"/>
            <w:vAlign w:val="top"/>
            <w:tcMar>
              <w:top w:w="70" w:type="dxa"/>
              <w:start w:w="80" w:type="dxa"/>
              <w:bottom w:w="70" w:type="dxa"/>
              <w:end w:w="80" w:type="dxa"/>
            </w:tcMar>
          </w:tcPr>
          <w:p>
            <w:pPr>
              <w:spacing w:after="0"/>
            </w:pPr>
            <w:r>
              <w:rPr>
                <w:sz w:val="14"/>
              </w:rPr>
              <w:t>Meta-analysis; 90 studies</w:t>
            </w:r>
          </w:p>
        </w:tc>
        <w:tc>
          <w:tcPr>
            <w:tcW w:type="dxa" w:w="3360"/>
            <w:vAlign w:val="top"/>
            <w:tcMar>
              <w:top w:w="70" w:type="dxa"/>
              <w:start w:w="80" w:type="dxa"/>
              <w:bottom w:w="70" w:type="dxa"/>
              <w:end w:w="80" w:type="dxa"/>
            </w:tcMar>
          </w:tcPr>
          <w:p>
            <w:pPr>
              <w:spacing w:after="0"/>
            </w:pPr>
            <w:r>
              <w:rPr>
                <w:sz w:val="14"/>
              </w:rPr>
              <w:t>https://doi.org/10.1016/j.jvb.2016.09.002</w:t>
            </w:r>
          </w:p>
        </w:tc>
      </w:tr>
      <w:tr>
        <w:tc>
          <w:tcPr>
            <w:tcW w:type="dxa" w:w="3360"/>
            <w:vAlign w:val="top"/>
            <w:tcMar>
              <w:top w:w="70" w:type="dxa"/>
              <w:start w:w="80" w:type="dxa"/>
              <w:bottom w:w="70" w:type="dxa"/>
              <w:end w:w="80" w:type="dxa"/>
            </w:tcMar>
          </w:tcPr>
          <w:p>
            <w:pPr>
              <w:spacing w:after="0"/>
            </w:pPr>
            <w:r>
              <w:rPr>
                <w:sz w:val="14"/>
              </w:rPr>
              <w:t>Rudolph, C.W., Lavigne, K.N., Katz, I.M., &amp; Zacher, H. (2017). Linking dimensions of career adaptability to adaptation results. Journal of Vocational Behavior, 102, 151–173.</w:t>
            </w:r>
          </w:p>
        </w:tc>
        <w:tc>
          <w:tcPr>
            <w:tcW w:type="dxa" w:w="3360"/>
            <w:vAlign w:val="top"/>
            <w:tcMar>
              <w:top w:w="70" w:type="dxa"/>
              <w:start w:w="80" w:type="dxa"/>
              <w:bottom w:w="70" w:type="dxa"/>
              <w:end w:w="80" w:type="dxa"/>
            </w:tcMar>
          </w:tcPr>
          <w:p>
            <w:pPr>
              <w:spacing w:after="0"/>
            </w:pPr>
            <w:r>
              <w:rPr>
                <w:sz w:val="14"/>
              </w:rPr>
              <w:t>Meta-analysis; 76 studies</w:t>
            </w:r>
          </w:p>
        </w:tc>
        <w:tc>
          <w:tcPr>
            <w:tcW w:type="dxa" w:w="3360"/>
            <w:vAlign w:val="top"/>
            <w:tcMar>
              <w:top w:w="70" w:type="dxa"/>
              <w:start w:w="80" w:type="dxa"/>
              <w:bottom w:w="70" w:type="dxa"/>
              <w:end w:w="80" w:type="dxa"/>
            </w:tcMar>
          </w:tcPr>
          <w:p>
            <w:pPr>
              <w:spacing w:after="0"/>
            </w:pPr>
            <w:r>
              <w:rPr>
                <w:sz w:val="14"/>
              </w:rPr>
              <w:t>https://doi.org/10.1016/j.jvb.2017.06.003</w:t>
            </w:r>
          </w:p>
        </w:tc>
      </w:tr>
      <w:tr>
        <w:tc>
          <w:tcPr>
            <w:tcW w:type="dxa" w:w="3360"/>
            <w:vAlign w:val="top"/>
            <w:tcMar>
              <w:top w:w="70" w:type="dxa"/>
              <w:start w:w="80" w:type="dxa"/>
              <w:bottom w:w="70" w:type="dxa"/>
              <w:end w:w="80" w:type="dxa"/>
            </w:tcMar>
          </w:tcPr>
          <w:p>
            <w:pPr>
              <w:spacing w:after="0"/>
            </w:pPr>
            <w:r>
              <w:rPr>
                <w:sz w:val="14"/>
              </w:rPr>
              <w:t>Jiang, K. et al. (2012). When and how is job embeddedness predictive of turnover? Journal of Applied Psychology.</w:t>
            </w:r>
          </w:p>
        </w:tc>
        <w:tc>
          <w:tcPr>
            <w:tcW w:type="dxa" w:w="3360"/>
            <w:vAlign w:val="top"/>
            <w:tcMar>
              <w:top w:w="70" w:type="dxa"/>
              <w:start w:w="80" w:type="dxa"/>
              <w:bottom w:w="70" w:type="dxa"/>
              <w:end w:w="80" w:type="dxa"/>
            </w:tcMar>
          </w:tcPr>
          <w:p>
            <w:pPr>
              <w:spacing w:after="0"/>
            </w:pPr>
            <w:r>
              <w:rPr>
                <w:sz w:val="14"/>
              </w:rPr>
              <w:t>Meta-analysis; 65 samples, N=42,907</w:t>
            </w:r>
          </w:p>
        </w:tc>
        <w:tc>
          <w:tcPr>
            <w:tcW w:type="dxa" w:w="3360"/>
            <w:vAlign w:val="top"/>
            <w:tcMar>
              <w:top w:w="70" w:type="dxa"/>
              <w:start w:w="80" w:type="dxa"/>
              <w:bottom w:w="70" w:type="dxa"/>
              <w:end w:w="80" w:type="dxa"/>
            </w:tcMar>
          </w:tcPr>
          <w:p>
            <w:pPr>
              <w:spacing w:after="0"/>
            </w:pPr>
            <w:r>
              <w:rPr>
                <w:sz w:val="14"/>
              </w:rPr>
              <w:t>https://doi.org/10.1037/a0028610</w:t>
            </w:r>
          </w:p>
        </w:tc>
      </w:tr>
      <w:tr>
        <w:tc>
          <w:tcPr>
            <w:tcW w:type="dxa" w:w="3360"/>
            <w:vAlign w:val="top"/>
            <w:tcMar>
              <w:top w:w="70" w:type="dxa"/>
              <w:start w:w="80" w:type="dxa"/>
              <w:bottom w:w="70" w:type="dxa"/>
              <w:end w:w="80" w:type="dxa"/>
            </w:tcMar>
          </w:tcPr>
          <w:p>
            <w:pPr>
              <w:spacing w:after="0"/>
            </w:pPr>
            <w:r>
              <w:rPr>
                <w:sz w:val="14"/>
              </w:rPr>
              <w:t>Benson, A., &amp; Rissing, B.A. (2020). Strength from Within: Internal Mobility and the Retention of High Performers. Organization Science, 31(6), 1475–1496.</w:t>
            </w:r>
          </w:p>
        </w:tc>
        <w:tc>
          <w:tcPr>
            <w:tcW w:type="dxa" w:w="3360"/>
            <w:vAlign w:val="top"/>
            <w:tcMar>
              <w:top w:w="70" w:type="dxa"/>
              <w:start w:w="80" w:type="dxa"/>
              <w:bottom w:w="70" w:type="dxa"/>
              <w:end w:w="80" w:type="dxa"/>
            </w:tcMar>
          </w:tcPr>
          <w:p>
            <w:pPr>
              <w:spacing w:after="0"/>
            </w:pPr>
            <w:r>
              <w:rPr>
                <w:sz w:val="14"/>
              </w:rPr>
              <w:t>Large-scale organizational empirical study</w:t>
            </w:r>
          </w:p>
        </w:tc>
        <w:tc>
          <w:tcPr>
            <w:tcW w:type="dxa" w:w="3360"/>
            <w:vAlign w:val="top"/>
            <w:tcMar>
              <w:top w:w="70" w:type="dxa"/>
              <w:start w:w="80" w:type="dxa"/>
              <w:bottom w:w="70" w:type="dxa"/>
              <w:end w:w="80" w:type="dxa"/>
            </w:tcMar>
          </w:tcPr>
          <w:p>
            <w:pPr>
              <w:spacing w:after="0"/>
            </w:pPr>
            <w:r>
              <w:rPr>
                <w:sz w:val="14"/>
              </w:rPr>
              <w:t>https://doi.org/10.1287/orsc.2020.1362</w:t>
            </w:r>
          </w:p>
        </w:tc>
      </w:tr>
      <w:tr>
        <w:tc>
          <w:tcPr>
            <w:tcW w:type="dxa" w:w="3360"/>
            <w:vAlign w:val="top"/>
            <w:tcMar>
              <w:top w:w="70" w:type="dxa"/>
              <w:start w:w="80" w:type="dxa"/>
              <w:bottom w:w="70" w:type="dxa"/>
              <w:end w:w="80" w:type="dxa"/>
            </w:tcMar>
          </w:tcPr>
          <w:p>
            <w:pPr>
              <w:spacing w:after="0"/>
            </w:pPr>
            <w:r>
              <w:rPr>
                <w:sz w:val="14"/>
              </w:rPr>
              <w:t>Deutsch, J. et al. (2025). The Impact of Registered and Unregistered Apprenticeship. U.S. Department of Labor / Urban Institute.</w:t>
            </w:r>
          </w:p>
        </w:tc>
        <w:tc>
          <w:tcPr>
            <w:tcW w:type="dxa" w:w="3360"/>
            <w:vAlign w:val="top"/>
            <w:tcMar>
              <w:top w:w="70" w:type="dxa"/>
              <w:start w:w="80" w:type="dxa"/>
              <w:bottom w:w="70" w:type="dxa"/>
              <w:end w:w="80" w:type="dxa"/>
            </w:tcMar>
          </w:tcPr>
          <w:p>
            <w:pPr>
              <w:spacing w:after="0"/>
            </w:pPr>
            <w:r>
              <w:rPr>
                <w:sz w:val="14"/>
              </w:rPr>
              <w:t>Quasi-experimental federal evaluation</w:t>
            </w:r>
          </w:p>
        </w:tc>
        <w:tc>
          <w:tcPr>
            <w:tcW w:type="dxa" w:w="3360"/>
            <w:vAlign w:val="top"/>
            <w:tcMar>
              <w:top w:w="70" w:type="dxa"/>
              <w:start w:w="80" w:type="dxa"/>
              <w:bottom w:w="70" w:type="dxa"/>
              <w:end w:w="80" w:type="dxa"/>
            </w:tcMar>
          </w:tcPr>
          <w:p>
            <w:pPr>
              <w:spacing w:after="0"/>
            </w:pPr>
            <w:r>
              <w:rPr>
                <w:sz w:val="14"/>
              </w:rPr>
              <w:t>https://www.dol.gov/resource-library/impact-registered-and-unregistered-apprenticeship-evidence-scaling-apprenticeship</w:t>
            </w:r>
          </w:p>
        </w:tc>
      </w:tr>
      <w:tr>
        <w:tc>
          <w:tcPr>
            <w:tcW w:type="dxa" w:w="3360"/>
            <w:vAlign w:val="top"/>
            <w:tcMar>
              <w:top w:w="70" w:type="dxa"/>
              <w:start w:w="80" w:type="dxa"/>
              <w:bottom w:w="70" w:type="dxa"/>
              <w:end w:w="80" w:type="dxa"/>
            </w:tcMar>
          </w:tcPr>
          <w:p>
            <w:pPr>
              <w:spacing w:after="0"/>
            </w:pPr>
            <w:r>
              <w:rPr>
                <w:sz w:val="14"/>
              </w:rPr>
              <w:t>Liu, V.Y.T., Belfield, C.R., &amp; Trimble, M.J. (2015). Medium-term labor market returns to community college awards: Evidence from North Carolina.</w:t>
            </w:r>
          </w:p>
        </w:tc>
        <w:tc>
          <w:tcPr>
            <w:tcW w:type="dxa" w:w="3360"/>
            <w:vAlign w:val="top"/>
            <w:tcMar>
              <w:top w:w="70" w:type="dxa"/>
              <w:start w:w="80" w:type="dxa"/>
              <w:bottom w:w="70" w:type="dxa"/>
              <w:end w:w="80" w:type="dxa"/>
            </w:tcMar>
          </w:tcPr>
          <w:p>
            <w:pPr>
              <w:spacing w:after="0"/>
            </w:pPr>
            <w:r>
              <w:rPr>
                <w:sz w:val="14"/>
              </w:rPr>
              <w:t>Administrative-data study</w:t>
            </w:r>
          </w:p>
        </w:tc>
        <w:tc>
          <w:tcPr>
            <w:tcW w:type="dxa" w:w="3360"/>
            <w:vAlign w:val="top"/>
            <w:tcMar>
              <w:top w:w="70" w:type="dxa"/>
              <w:start w:w="80" w:type="dxa"/>
              <w:bottom w:w="70" w:type="dxa"/>
              <w:end w:w="80" w:type="dxa"/>
            </w:tcMar>
          </w:tcPr>
          <w:p>
            <w:pPr>
              <w:spacing w:after="0"/>
            </w:pPr>
            <w:r>
              <w:rPr>
                <w:sz w:val="14"/>
              </w:rPr>
              <w:t>https://doi.org/10.1016/j.econedurev.2014.10.009</w:t>
            </w:r>
          </w:p>
        </w:tc>
      </w:tr>
      <w:tr>
        <w:tc>
          <w:tcPr>
            <w:tcW w:type="dxa" w:w="3360"/>
            <w:vAlign w:val="top"/>
            <w:tcMar>
              <w:top w:w="70" w:type="dxa"/>
              <w:start w:w="80" w:type="dxa"/>
              <w:bottom w:w="70" w:type="dxa"/>
              <w:end w:w="80" w:type="dxa"/>
            </w:tcMar>
          </w:tcPr>
          <w:p>
            <w:pPr>
              <w:spacing w:after="0"/>
            </w:pPr>
            <w:r>
              <w:rPr>
                <w:sz w:val="14"/>
              </w:rPr>
              <w:t>Xu, D., &amp; Trimble, M. (2016). What About Certificates? Evidence on Labor Market Returns to Nondegree Community College Awards in Two States.</w:t>
            </w:r>
          </w:p>
        </w:tc>
        <w:tc>
          <w:tcPr>
            <w:tcW w:type="dxa" w:w="3360"/>
            <w:vAlign w:val="top"/>
            <w:tcMar>
              <w:top w:w="70" w:type="dxa"/>
              <w:start w:w="80" w:type="dxa"/>
              <w:bottom w:w="70" w:type="dxa"/>
              <w:end w:w="80" w:type="dxa"/>
            </w:tcMar>
          </w:tcPr>
          <w:p>
            <w:pPr>
              <w:spacing w:after="0"/>
            </w:pPr>
            <w:r>
              <w:rPr>
                <w:sz w:val="14"/>
              </w:rPr>
              <w:t>Administrative-data study, NC/VA</w:t>
            </w:r>
          </w:p>
        </w:tc>
        <w:tc>
          <w:tcPr>
            <w:tcW w:type="dxa" w:w="3360"/>
            <w:vAlign w:val="top"/>
            <w:tcMar>
              <w:top w:w="70" w:type="dxa"/>
              <w:start w:w="80" w:type="dxa"/>
              <w:bottom w:w="70" w:type="dxa"/>
              <w:end w:w="80" w:type="dxa"/>
            </w:tcMar>
          </w:tcPr>
          <w:p>
            <w:pPr>
              <w:spacing w:after="0"/>
            </w:pPr>
            <w:r>
              <w:rPr>
                <w:sz w:val="14"/>
              </w:rPr>
              <w:t>https://doi.org/10.3102/0162373715617827</w:t>
            </w:r>
          </w:p>
        </w:tc>
      </w:tr>
      <w:tr>
        <w:tc>
          <w:tcPr>
            <w:tcW w:type="dxa" w:w="3360"/>
            <w:vAlign w:val="top"/>
            <w:tcMar>
              <w:top w:w="70" w:type="dxa"/>
              <w:start w:w="80" w:type="dxa"/>
              <w:bottom w:w="70" w:type="dxa"/>
              <w:end w:w="80" w:type="dxa"/>
            </w:tcMar>
          </w:tcPr>
          <w:p>
            <w:pPr>
              <w:spacing w:after="0"/>
            </w:pPr>
            <w:r>
              <w:rPr>
                <w:sz w:val="14"/>
              </w:rPr>
              <w:t>Noncredit workforce training, industry credentials, and labor market outcomes. Journal of Public Economics (2026), Vol. 260, 105679.</w:t>
            </w:r>
          </w:p>
        </w:tc>
        <w:tc>
          <w:tcPr>
            <w:tcW w:type="dxa" w:w="3360"/>
            <w:vAlign w:val="top"/>
            <w:tcMar>
              <w:top w:w="70" w:type="dxa"/>
              <w:start w:w="80" w:type="dxa"/>
              <w:bottom w:w="70" w:type="dxa"/>
              <w:end w:w="80" w:type="dxa"/>
            </w:tcMar>
          </w:tcPr>
          <w:p>
            <w:pPr>
              <w:spacing w:after="0"/>
            </w:pPr>
            <w:r>
              <w:rPr>
                <w:sz w:val="14"/>
              </w:rPr>
              <w:t>Quasi-experimental administrative-data study</w:t>
            </w:r>
          </w:p>
        </w:tc>
        <w:tc>
          <w:tcPr>
            <w:tcW w:type="dxa" w:w="3360"/>
            <w:vAlign w:val="top"/>
            <w:tcMar>
              <w:top w:w="70" w:type="dxa"/>
              <w:start w:w="80" w:type="dxa"/>
              <w:bottom w:w="70" w:type="dxa"/>
              <w:end w:w="80" w:type="dxa"/>
            </w:tcMar>
          </w:tcPr>
          <w:p>
            <w:pPr>
              <w:spacing w:after="0"/>
            </w:pPr>
            <w:r>
              <w:rPr>
                <w:sz w:val="14"/>
              </w:rPr>
              <w:t>https://doi.org/10.1016/j.jpubeco.2026.105679</w:t>
            </w:r>
          </w:p>
        </w:tc>
      </w:tr>
      <w:tr>
        <w:tc>
          <w:tcPr>
            <w:tcW w:type="dxa" w:w="3360"/>
            <w:vAlign w:val="top"/>
            <w:tcMar>
              <w:top w:w="70" w:type="dxa"/>
              <w:start w:w="80" w:type="dxa"/>
              <w:bottom w:w="70" w:type="dxa"/>
              <w:end w:w="80" w:type="dxa"/>
            </w:tcMar>
          </w:tcPr>
          <w:p>
            <w:pPr>
              <w:spacing w:after="0"/>
            </w:pPr>
            <w:r>
              <w:rPr>
                <w:sz w:val="14"/>
              </w:rPr>
              <w:t>Association of Community College Trustees. The Value of Community College Short-Term Credentials.</w:t>
            </w:r>
          </w:p>
        </w:tc>
        <w:tc>
          <w:tcPr>
            <w:tcW w:type="dxa" w:w="3360"/>
            <w:vAlign w:val="top"/>
            <w:tcMar>
              <w:top w:w="70" w:type="dxa"/>
              <w:start w:w="80" w:type="dxa"/>
              <w:bottom w:w="70" w:type="dxa"/>
              <w:end w:w="80" w:type="dxa"/>
            </w:tcMar>
          </w:tcPr>
          <w:p>
            <w:pPr>
              <w:spacing w:after="0"/>
            </w:pPr>
            <w:r>
              <w:rPr>
                <w:sz w:val="14"/>
              </w:rPr>
              <w:t>Multi-state applied research / literature review</w:t>
            </w:r>
          </w:p>
        </w:tc>
        <w:tc>
          <w:tcPr>
            <w:tcW w:type="dxa" w:w="3360"/>
            <w:vAlign w:val="top"/>
            <w:tcMar>
              <w:top w:w="70" w:type="dxa"/>
              <w:start w:w="80" w:type="dxa"/>
              <w:bottom w:w="70" w:type="dxa"/>
              <w:end w:w="80" w:type="dxa"/>
            </w:tcMar>
          </w:tcPr>
          <w:p>
            <w:pPr>
              <w:spacing w:after="0"/>
            </w:pPr>
            <w:r>
              <w:rPr>
                <w:sz w:val="14"/>
              </w:rPr>
              <w:t>https://acct.org/publications-media/reports-and-papers/the-value-of-community-college-short-term-credentials</w:t>
            </w:r>
          </w:p>
        </w:tc>
      </w:tr>
    </w:tbl>
    <w:p>
      <w:pPr>
        <w:pStyle w:val="Heading1"/>
      </w:pPr>
      <w:r>
        <w:t>25. Evidence Registry Development Target</w:t>
      </w:r>
    </w:p>
    <w:p>
      <w:r>
        <w:t>Before confirmatory pathway-effect testing, expand Study #006 to a sufficiently diverse evidence base rather than an arbitrary citation count. As a practical milestone, target 25+ high-relevance unique sources, including meta-analyses/systematic reviews, longitudinal or quasi-experimental mobility/training studies, contact-center/customer-service evidence where available, workforce/community-college outcome studies, labor-market data, contradictory/negative credential evidence, and measurement/methodology guidance. The Master Evidence Registry should deduplicate sources already used in Studies #001–#005.</w:t>
      </w:r>
    </w:p>
    <w:p>
      <w:pPr>
        <w:pStyle w:val="Heading1"/>
      </w:pPr>
      <w:r>
        <w:t>26. Decision Record Before New Interviews or Surveys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shd w:fill="0B3A53"/>
            <w:vAlign w:val="center"/>
            <w:tcMar>
              <w:top w:w="70" w:type="dxa"/>
              <w:start w:w="80" w:type="dxa"/>
              <w:bottom w:w="70" w:type="dxa"/>
              <w:end w:w="80" w:type="dxa"/>
            </w:tcMar>
          </w:tcPr>
          <w:p>
            <w:r>
              <w:rPr>
                <w:b/>
                <w:color w:val="FFFFFF"/>
                <w:sz w:val="16"/>
              </w:rPr>
              <w:t>Field</w:t>
            </w:r>
          </w:p>
        </w:tc>
        <w:tc>
          <w:tcPr>
            <w:tcW w:type="dxa" w:w="5040"/>
            <w:shd w:fill="0B3A53"/>
            <w:vAlign w:val="center"/>
            <w:tcMar>
              <w:top w:w="70" w:type="dxa"/>
              <w:start w:w="80" w:type="dxa"/>
              <w:bottom w:w="70" w:type="dxa"/>
              <w:end w:w="80" w:type="dxa"/>
            </w:tcMar>
          </w:tcPr>
          <w:p>
            <w:r>
              <w:rPr>
                <w:b/>
                <w:color w:val="FFFFFF"/>
                <w:sz w:val="16"/>
              </w:rPr>
              <w:t>Required decision</w:t>
            </w:r>
          </w:p>
        </w:tc>
      </w:tr>
      <w:tr>
        <w:tc>
          <w:tcPr>
            <w:tcW w:type="dxa" w:w="5040"/>
            <w:vAlign w:val="top"/>
            <w:tcMar>
              <w:top w:w="70" w:type="dxa"/>
              <w:start w:w="80" w:type="dxa"/>
              <w:bottom w:w="70" w:type="dxa"/>
              <w:end w:w="80" w:type="dxa"/>
            </w:tcMar>
          </w:tcPr>
          <w:p>
            <w:pPr>
              <w:spacing w:after="0"/>
            </w:pPr>
            <w:r>
              <w:rPr>
                <w:sz w:val="16"/>
              </w:rPr>
              <w:t>Unresolved question</w:t>
            </w:r>
          </w:p>
        </w:tc>
        <w:tc>
          <w:tcPr>
            <w:tcW w:type="dxa" w:w="5040"/>
            <w:vAlign w:val="top"/>
            <w:tcMar>
              <w:top w:w="70" w:type="dxa"/>
              <w:start w:w="80" w:type="dxa"/>
              <w:bottom w:w="70" w:type="dxa"/>
              <w:end w:w="80" w:type="dxa"/>
            </w:tcMar>
          </w:tcPr>
          <w:p>
            <w:pPr>
              <w:spacing w:after="0"/>
            </w:pPr>
            <w:r>
              <w:rPr>
                <w:sz w:val="16"/>
              </w:rPr>
              <w:t>Exactly what remains unknown?</w:t>
            </w:r>
          </w:p>
        </w:tc>
      </w:tr>
      <w:tr>
        <w:tc>
          <w:tcPr>
            <w:tcW w:type="dxa" w:w="5040"/>
            <w:vAlign w:val="top"/>
            <w:tcMar>
              <w:top w:w="70" w:type="dxa"/>
              <w:start w:w="80" w:type="dxa"/>
              <w:bottom w:w="70" w:type="dxa"/>
              <w:end w:w="80" w:type="dxa"/>
            </w:tcMar>
          </w:tcPr>
          <w:p>
            <w:pPr>
              <w:spacing w:after="0"/>
            </w:pPr>
            <w:r>
              <w:rPr>
                <w:sz w:val="16"/>
              </w:rPr>
              <w:t>Existing evidence</w:t>
            </w:r>
          </w:p>
        </w:tc>
        <w:tc>
          <w:tcPr>
            <w:tcW w:type="dxa" w:w="5040"/>
            <w:vAlign w:val="top"/>
            <w:tcMar>
              <w:top w:w="70" w:type="dxa"/>
              <w:start w:w="80" w:type="dxa"/>
              <w:bottom w:w="70" w:type="dxa"/>
              <w:end w:w="80" w:type="dxa"/>
            </w:tcMar>
          </w:tcPr>
          <w:p>
            <w:pPr>
              <w:spacing w:after="0"/>
            </w:pPr>
            <w:r>
              <w:rPr>
                <w:sz w:val="16"/>
              </w:rPr>
              <w:t>What already addresses the question?</w:t>
            </w:r>
          </w:p>
        </w:tc>
      </w:tr>
      <w:tr>
        <w:tc>
          <w:tcPr>
            <w:tcW w:type="dxa" w:w="5040"/>
            <w:vAlign w:val="top"/>
            <w:tcMar>
              <w:top w:w="70" w:type="dxa"/>
              <w:start w:w="80" w:type="dxa"/>
              <w:bottom w:w="70" w:type="dxa"/>
              <w:end w:w="80" w:type="dxa"/>
            </w:tcMar>
          </w:tcPr>
          <w:p>
            <w:pPr>
              <w:spacing w:after="0"/>
            </w:pPr>
            <w:r>
              <w:rPr>
                <w:sz w:val="16"/>
              </w:rPr>
              <w:t>Why insufficient</w:t>
            </w:r>
          </w:p>
        </w:tc>
        <w:tc>
          <w:tcPr>
            <w:tcW w:type="dxa" w:w="5040"/>
            <w:vAlign w:val="top"/>
            <w:tcMar>
              <w:top w:w="70" w:type="dxa"/>
              <w:start w:w="80" w:type="dxa"/>
              <w:bottom w:w="70" w:type="dxa"/>
              <w:end w:w="80" w:type="dxa"/>
            </w:tcMar>
          </w:tcPr>
          <w:p>
            <w:pPr>
              <w:spacing w:after="0"/>
            </w:pPr>
            <w:r>
              <w:rPr>
                <w:sz w:val="16"/>
              </w:rPr>
              <w:t>What specific limitation prevents a decision?</w:t>
            </w:r>
          </w:p>
        </w:tc>
      </w:tr>
      <w:tr>
        <w:tc>
          <w:tcPr>
            <w:tcW w:type="dxa" w:w="5040"/>
            <w:vAlign w:val="top"/>
            <w:tcMar>
              <w:top w:w="70" w:type="dxa"/>
              <w:start w:w="80" w:type="dxa"/>
              <w:bottom w:w="70" w:type="dxa"/>
              <w:end w:w="80" w:type="dxa"/>
            </w:tcMar>
          </w:tcPr>
          <w:p>
            <w:pPr>
              <w:spacing w:after="0"/>
            </w:pPr>
            <w:r>
              <w:rPr>
                <w:sz w:val="16"/>
              </w:rPr>
              <w:t>Best next evidence</w:t>
            </w:r>
          </w:p>
        </w:tc>
        <w:tc>
          <w:tcPr>
            <w:tcW w:type="dxa" w:w="5040"/>
            <w:vAlign w:val="top"/>
            <w:tcMar>
              <w:top w:w="70" w:type="dxa"/>
              <w:start w:w="80" w:type="dxa"/>
              <w:bottom w:w="70" w:type="dxa"/>
              <w:end w:w="80" w:type="dxa"/>
            </w:tcMar>
          </w:tcPr>
          <w:p>
            <w:pPr>
              <w:spacing w:after="0"/>
            </w:pPr>
            <w:r>
              <w:rPr>
                <w:sz w:val="16"/>
              </w:rPr>
              <w:t>Administrative data, employer data, targeted interview, targeted survey, cohort, comparison study, or none.</w:t>
            </w:r>
          </w:p>
        </w:tc>
      </w:tr>
      <w:tr>
        <w:tc>
          <w:tcPr>
            <w:tcW w:type="dxa" w:w="5040"/>
            <w:vAlign w:val="top"/>
            <w:tcMar>
              <w:top w:w="70" w:type="dxa"/>
              <w:start w:w="80" w:type="dxa"/>
              <w:bottom w:w="70" w:type="dxa"/>
              <w:end w:w="80" w:type="dxa"/>
            </w:tcMar>
          </w:tcPr>
          <w:p>
            <w:pPr>
              <w:spacing w:after="0"/>
            </w:pPr>
            <w:r>
              <w:rPr>
                <w:sz w:val="16"/>
              </w:rPr>
              <w:t>Decision value</w:t>
            </w:r>
          </w:p>
        </w:tc>
        <w:tc>
          <w:tcPr>
            <w:tcW w:type="dxa" w:w="5040"/>
            <w:vAlign w:val="top"/>
            <w:tcMar>
              <w:top w:w="70" w:type="dxa"/>
              <w:start w:w="80" w:type="dxa"/>
              <w:bottom w:w="70" w:type="dxa"/>
              <w:end w:w="80" w:type="dxa"/>
            </w:tcMar>
          </w:tcPr>
          <w:p>
            <w:pPr>
              <w:spacing w:after="0"/>
            </w:pPr>
            <w:r>
              <w:rPr>
                <w:sz w:val="16"/>
              </w:rPr>
              <w:t>What ResolveCX design/business decision will change?</w:t>
            </w:r>
          </w:p>
        </w:tc>
      </w:tr>
      <w:tr>
        <w:tc>
          <w:tcPr>
            <w:tcW w:type="dxa" w:w="5040"/>
            <w:vAlign w:val="top"/>
            <w:tcMar>
              <w:top w:w="70" w:type="dxa"/>
              <w:start w:w="80" w:type="dxa"/>
              <w:bottom w:w="70" w:type="dxa"/>
              <w:end w:w="80" w:type="dxa"/>
            </w:tcMar>
          </w:tcPr>
          <w:p>
            <w:pPr>
              <w:spacing w:after="0"/>
            </w:pPr>
            <w:r>
              <w:rPr>
                <w:sz w:val="16"/>
              </w:rPr>
              <w:t>Stop rule</w:t>
            </w:r>
          </w:p>
        </w:tc>
        <w:tc>
          <w:tcPr>
            <w:tcW w:type="dxa" w:w="5040"/>
            <w:vAlign w:val="top"/>
            <w:tcMar>
              <w:top w:w="70" w:type="dxa"/>
              <w:start w:w="80" w:type="dxa"/>
              <w:bottom w:w="70" w:type="dxa"/>
              <w:end w:w="80" w:type="dxa"/>
            </w:tcMar>
          </w:tcPr>
          <w:p>
            <w:pPr>
              <w:spacing w:after="0"/>
            </w:pPr>
            <w:r>
              <w:rPr>
                <w:sz w:val="16"/>
              </w:rPr>
              <w:t>What evidence would make additional collection unnecessary?</w:t>
            </w:r>
          </w:p>
        </w:tc>
      </w:tr>
    </w:tbl>
    <w:p>
      <w:pPr>
        <w:pStyle w:val="Heading1"/>
      </w:pPr>
      <w:r>
        <w:t>27. Immediate Implementation Sequence</w:t>
      </w:r>
    </w:p>
    <w:p>
      <w:pPr>
        <w:pStyle w:val="ListNumber"/>
        <w:spacing w:after="30"/>
      </w:pPr>
      <w:r>
        <w:t>Add Study #006 and its initial sources to the ResolveCX Master Evidence Registry; deduplicate sources shared with Studies #001–#005.</w:t>
      </w:r>
    </w:p>
    <w:p>
      <w:pPr>
        <w:pStyle w:val="ListNumber"/>
        <w:spacing w:after="30"/>
      </w:pPr>
      <w:r>
        <w:t>Complete an Evidence Sufficiency Review for H1–H10 before launching any new interview or survey.</w:t>
      </w:r>
    </w:p>
    <w:p>
      <w:pPr>
        <w:pStyle w:val="ListNumber"/>
        <w:spacing w:after="30"/>
      </w:pPr>
      <w:r>
        <w:t>Build a Career Pathway Construct Dictionary: visibility, credibility, opportunity, accessibility, portability, mobility, economic value, career agency, and employer commitment.</w:t>
      </w:r>
    </w:p>
    <w:p>
      <w:pPr>
        <w:pStyle w:val="ListNumber"/>
        <w:spacing w:after="30"/>
      </w:pPr>
      <w:r>
        <w:t>Map existing public/administrative datasets that could answer credential, wage, mobility, and employment questions without original surveys.</w:t>
      </w:r>
    </w:p>
    <w:p>
      <w:pPr>
        <w:pStyle w:val="ListNumber"/>
        <w:spacing w:after="30"/>
      </w:pPr>
      <w:r>
        <w:t>Develop an Employer Commitment Interview only for unresolved demand-side questions; prioritize concrete commitments over opinions.</w:t>
      </w:r>
    </w:p>
    <w:p>
      <w:pPr>
        <w:pStyle w:val="ListNumber"/>
        <w:spacing w:after="30"/>
      </w:pPr>
      <w:r>
        <w:t>Define pathway success outcomes prospectively for participants, employers, colleges, and workforce organizations.</w:t>
      </w:r>
    </w:p>
    <w:p>
      <w:pPr>
        <w:pStyle w:val="ListNumber"/>
        <w:spacing w:after="30"/>
      </w:pPr>
      <w:r>
        <w:t>Design a small ResolveCX pathway pilot only after at least one employer demonstrates Level 2+ commitment and a delivery partner can support outcome tracking.</w:t>
      </w:r>
    </w:p>
    <w:p>
      <w:pPr>
        <w:pStyle w:val="ListNumber"/>
        <w:spacing w:after="30"/>
      </w:pPr>
      <w:r>
        <w:t>Use a credible comparison strategy before making claims that the pathway improves outcomes.</w:t>
      </w:r>
    </w:p>
    <w:p>
      <w:pPr>
        <w:pStyle w:val="ListNumber"/>
        <w:spacing w:after="30"/>
      </w:pPr>
      <w:r>
        <w:t>Track employment, proficiency, mobility, earnings/job quality, retention, external transitions, and continued education over time.</w:t>
      </w:r>
    </w:p>
    <w:p>
      <w:pPr>
        <w:pStyle w:val="ListNumber"/>
        <w:spacing w:after="30"/>
      </w:pPr>
      <w:r>
        <w:t>Replicate before broad commercialization or industry-wide effectiveness claims.</w:t>
      </w:r>
    </w:p>
    <w:p>
      <w:pPr>
        <w:pStyle w:val="Heading1"/>
      </w:pPr>
      <w:r>
        <w:t>28. Protocol Decision</w:t>
      </w:r>
    </w:p>
    <w:p>
      <w:r>
        <w:t>Study #006 is approved for introduction as Ongoing Research. The protocol is evidence-first, falsifiable, cross-stakeholder, and explicitly designed to determine whether a ResolveCX career pathway creates real opportunity rather than simply describing opportunity. The research remains open to the conclusion that external evidence is sufficient for some hypotheses, that targeted original evidence is required for others, or that parts of the pathway thesis should be narrowed or rejected.</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Research Protocol v1.0  •  Ongoing Research  •  Evidence-First Design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1"/>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23506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