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#007: The AI + Human Readiness Study</w:t>
      </w:r>
    </w:p>
    <w:p>
      <w:pPr>
        <w:jc w:val="center"/>
      </w:pPr>
      <w:r>
        <w:rPr>
          <w:i/>
          <w:sz w:val="26"/>
        </w:rPr>
        <w:t>When AI enters frontline contact-center work, what makes the human–AI system more capable, more trustworthy, and more sustainable?</w:t>
      </w:r>
    </w:p>
    <w:p>
      <w:pPr>
        <w:jc w:val="center"/>
      </w:pPr>
      <w:r>
        <w:rPr>
          <w:b/>
          <w:color w:val="B77311"/>
        </w:rPr>
        <w:t>Research Status: Ongoing</w:t>
      </w:r>
    </w:p>
    <w:p>
      <w:r>
        <w:t>Study #007 examines whether AI creates durable value in frontline contact-center work by augmenting human capability, accelerating learning, improving judgment, and releasing capacity—or whether poorly designed deployment increases monitoring, dependency, error, inequity, stress, skill erosion, or job displacement. AI readiness is treated as a sociotechnical condition involving the worker, task, AI system, workflow, leadership, governance, and organizational incentives.</w:t>
      </w:r>
    </w:p>
    <w:p>
      <w:pPr>
        <w:pStyle w:val="Heading1"/>
      </w:pPr>
      <w:r>
        <w:t>1. Research Integrity Statement</w:t>
      </w:r>
    </w:p>
    <w:p>
      <w:r>
        <w:t>Study #007 does not assume that AI is inherently beneficial, harmful, inevitable, or a substitute for people. It distinguishes exposure from automation, assistance from managerial control, productivity from quality, short-term efficiency from long-term learning, and AI adoption from responsible use. Null, adverse, heterogeneous, and contradictory findings will narrow or reject parts of the ResolveCX AI thesis.</w:t>
      </w:r>
    </w:p>
    <w:p>
      <w:pPr>
        <w:pStyle w:val="Heading1"/>
      </w:pPr>
      <w:r>
        <w:t>2. Central Research Question</w:t>
      </w:r>
    </w:p>
    <w:p>
      <w:r>
        <w:rPr>
          <w:b/>
        </w:rPr>
        <w:t>Among frontline contact-center employees, which combinations of worker capability, task design, AI functionality, workflow integration, leadership, training, autonomy, transparency, human oversight, and governance produce better performance, learning, customer outcomes, employee sustainability, and responsible decision-making—and under what conditions does AI reduce rather than increase human capability or job quality?</w:t>
      </w:r>
    </w:p>
    <w:p>
      <w:pPr>
        <w:pStyle w:val="Heading1"/>
      </w:pPr>
      <w:r>
        <w:t>3. Position in the ResolveCX Research Program</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6"/>
              </w:rPr>
              <w:t>Study</w:t>
            </w:r>
          </w:p>
        </w:tc>
        <w:tc>
          <w:tcPr>
            <w:tcW w:type="dxa" w:w="3360"/>
            <w:shd w:fill="0B3A53"/>
          </w:tcPr>
          <w:p>
            <w:r>
              <w:rPr>
                <w:b/>
                <w:color w:val="FFFFFF"/>
                <w:sz w:val="16"/>
              </w:rPr>
              <w:t>Question</w:t>
            </w:r>
          </w:p>
        </w:tc>
        <w:tc>
          <w:tcPr>
            <w:tcW w:type="dxa" w:w="3360"/>
            <w:shd w:fill="0B3A53"/>
          </w:tcPr>
          <w:p>
            <w:r>
              <w:rPr>
                <w:b/>
                <w:color w:val="FFFFFF"/>
                <w:sz w:val="16"/>
              </w:rPr>
              <w:t>Portfolio role</w:t>
            </w:r>
          </w:p>
        </w:tc>
      </w:tr>
      <w:tr>
        <w:tc>
          <w:tcPr>
            <w:tcW w:type="dxa" w:w="3360"/>
          </w:tcPr>
          <w:p>
            <w:pPr>
              <w:spacing w:after="0"/>
            </w:pPr>
            <w:r>
              <w:rPr>
                <w:sz w:val="16"/>
              </w:rPr>
              <w:t>#001 Survival</w:t>
            </w:r>
          </w:p>
        </w:tc>
        <w:tc>
          <w:tcPr>
            <w:tcW w:type="dxa" w:w="3360"/>
          </w:tcPr>
          <w:p>
            <w:pPr>
              <w:spacing w:after="0"/>
            </w:pPr>
            <w:r>
              <w:rPr>
                <w:sz w:val="16"/>
              </w:rPr>
              <w:t>Who succeeds, struggles, or exits?</w:t>
            </w:r>
          </w:p>
        </w:tc>
        <w:tc>
          <w:tcPr>
            <w:tcW w:type="dxa" w:w="3360"/>
          </w:tcPr>
          <w:p>
            <w:pPr>
              <w:spacing w:after="0"/>
            </w:pPr>
            <w:r>
              <w:rPr>
                <w:sz w:val="16"/>
              </w:rPr>
              <w:t>Transition outcomes</w:t>
            </w:r>
          </w:p>
        </w:tc>
      </w:tr>
      <w:tr>
        <w:tc>
          <w:tcPr>
            <w:tcW w:type="dxa" w:w="3360"/>
          </w:tcPr>
          <w:p>
            <w:pPr>
              <w:spacing w:after="0"/>
            </w:pPr>
            <w:r>
              <w:rPr>
                <w:sz w:val="16"/>
              </w:rPr>
              <w:t>#002 Reality Gap</w:t>
            </w:r>
          </w:p>
        </w:tc>
        <w:tc>
          <w:tcPr>
            <w:tcW w:type="dxa" w:w="3360"/>
          </w:tcPr>
          <w:p>
            <w:pPr>
              <w:spacing w:after="0"/>
            </w:pPr>
            <w:r>
              <w:rPr>
                <w:sz w:val="16"/>
              </w:rPr>
              <w:t>Where do expectations diverge?</w:t>
            </w:r>
          </w:p>
        </w:tc>
        <w:tc>
          <w:tcPr>
            <w:tcW w:type="dxa" w:w="3360"/>
          </w:tcPr>
          <w:p>
            <w:pPr>
              <w:spacing w:after="0"/>
            </w:pPr>
            <w:r>
              <w:rPr>
                <w:sz w:val="16"/>
              </w:rPr>
              <w:t>Expectation alignment</w:t>
            </w:r>
          </w:p>
        </w:tc>
      </w:tr>
      <w:tr>
        <w:tc>
          <w:tcPr>
            <w:tcW w:type="dxa" w:w="3360"/>
          </w:tcPr>
          <w:p>
            <w:pPr>
              <w:spacing w:after="0"/>
            </w:pPr>
            <w:r>
              <w:rPr>
                <w:sz w:val="16"/>
              </w:rPr>
              <w:t>#003 Literacy</w:t>
            </w:r>
          </w:p>
        </w:tc>
        <w:tc>
          <w:tcPr>
            <w:tcW w:type="dxa" w:w="3360"/>
          </w:tcPr>
          <w:p>
            <w:pPr>
              <w:spacing w:after="0"/>
            </w:pPr>
            <w:r>
              <w:rPr>
                <w:sz w:val="16"/>
              </w:rPr>
              <w:t>What operating understanding matters?</w:t>
            </w:r>
          </w:p>
        </w:tc>
        <w:tc>
          <w:tcPr>
            <w:tcW w:type="dxa" w:w="3360"/>
          </w:tcPr>
          <w:p>
            <w:pPr>
              <w:spacing w:after="0"/>
            </w:pPr>
            <w:r>
              <w:rPr>
                <w:sz w:val="16"/>
              </w:rPr>
              <w:t>Judgment</w:t>
            </w:r>
          </w:p>
        </w:tc>
      </w:tr>
      <w:tr>
        <w:tc>
          <w:tcPr>
            <w:tcW w:type="dxa" w:w="3360"/>
          </w:tcPr>
          <w:p>
            <w:pPr>
              <w:spacing w:after="0"/>
            </w:pPr>
            <w:r>
              <w:rPr>
                <w:sz w:val="16"/>
              </w:rPr>
              <w:t>#004 Supervisor</w:t>
            </w:r>
          </w:p>
        </w:tc>
        <w:tc>
          <w:tcPr>
            <w:tcW w:type="dxa" w:w="3360"/>
          </w:tcPr>
          <w:p>
            <w:pPr>
              <w:spacing w:after="0"/>
            </w:pPr>
            <w:r>
              <w:rPr>
                <w:sz w:val="16"/>
              </w:rPr>
              <w:t>How much does the immediate leader matter?</w:t>
            </w:r>
          </w:p>
        </w:tc>
        <w:tc>
          <w:tcPr>
            <w:tcW w:type="dxa" w:w="3360"/>
          </w:tcPr>
          <w:p>
            <w:pPr>
              <w:spacing w:after="0"/>
            </w:pPr>
            <w:r>
              <w:rPr>
                <w:sz w:val="16"/>
              </w:rPr>
              <w:t>Leadership</w:t>
            </w:r>
          </w:p>
        </w:tc>
      </w:tr>
      <w:tr>
        <w:tc>
          <w:tcPr>
            <w:tcW w:type="dxa" w:w="3360"/>
          </w:tcPr>
          <w:p>
            <w:pPr>
              <w:spacing w:after="0"/>
            </w:pPr>
            <w:r>
              <w:rPr>
                <w:sz w:val="16"/>
              </w:rPr>
              <w:t>#005 Change</w:t>
            </w:r>
          </w:p>
        </w:tc>
        <w:tc>
          <w:tcPr>
            <w:tcW w:type="dxa" w:w="3360"/>
          </w:tcPr>
          <w:p>
            <w:pPr>
              <w:spacing w:after="0"/>
            </w:pPr>
            <w:r>
              <w:rPr>
                <w:sz w:val="16"/>
              </w:rPr>
              <w:t>What enables adaptation?</w:t>
            </w:r>
          </w:p>
        </w:tc>
        <w:tc>
          <w:tcPr>
            <w:tcW w:type="dxa" w:w="3360"/>
          </w:tcPr>
          <w:p>
            <w:pPr>
              <w:spacing w:after="0"/>
            </w:pPr>
            <w:r>
              <w:rPr>
                <w:sz w:val="16"/>
              </w:rPr>
              <w:t>Change capacity</w:t>
            </w:r>
          </w:p>
        </w:tc>
      </w:tr>
      <w:tr>
        <w:tc>
          <w:tcPr>
            <w:tcW w:type="dxa" w:w="3360"/>
          </w:tcPr>
          <w:p>
            <w:pPr>
              <w:spacing w:after="0"/>
            </w:pPr>
            <w:r>
              <w:rPr>
                <w:sz w:val="16"/>
              </w:rPr>
              <w:t>#006 Career Pathway</w:t>
            </w:r>
          </w:p>
        </w:tc>
        <w:tc>
          <w:tcPr>
            <w:tcW w:type="dxa" w:w="3360"/>
          </w:tcPr>
          <w:p>
            <w:pPr>
              <w:spacing w:after="0"/>
            </w:pPr>
            <w:r>
              <w:rPr>
                <w:sz w:val="16"/>
              </w:rPr>
              <w:t>Does frontline work create mobility?</w:t>
            </w:r>
          </w:p>
        </w:tc>
        <w:tc>
          <w:tcPr>
            <w:tcW w:type="dxa" w:w="3360"/>
          </w:tcPr>
          <w:p>
            <w:pPr>
              <w:spacing w:after="0"/>
            </w:pPr>
            <w:r>
              <w:rPr>
                <w:sz w:val="16"/>
              </w:rPr>
              <w:t>Economic/career value</w:t>
            </w:r>
          </w:p>
        </w:tc>
      </w:tr>
      <w:tr>
        <w:tc>
          <w:tcPr>
            <w:tcW w:type="dxa" w:w="3360"/>
          </w:tcPr>
          <w:p>
            <w:pPr>
              <w:spacing w:after="0"/>
            </w:pPr>
            <w:r>
              <w:rPr>
                <w:sz w:val="16"/>
              </w:rPr>
              <w:t>#007 AI + Human</w:t>
            </w:r>
          </w:p>
        </w:tc>
        <w:tc>
          <w:tcPr>
            <w:tcW w:type="dxa" w:w="3360"/>
          </w:tcPr>
          <w:p>
            <w:pPr>
              <w:spacing w:after="0"/>
            </w:pPr>
            <w:r>
              <w:rPr>
                <w:sz w:val="16"/>
              </w:rPr>
              <w:t>When does AI augment rather than diminish people?</w:t>
            </w:r>
          </w:p>
        </w:tc>
        <w:tc>
          <w:tcPr>
            <w:tcW w:type="dxa" w:w="3360"/>
          </w:tcPr>
          <w:p>
            <w:pPr>
              <w:spacing w:after="0"/>
            </w:pPr>
            <w:r>
              <w:rPr>
                <w:sz w:val="16"/>
              </w:rPr>
              <w:t>Human–AI system</w:t>
            </w:r>
          </w:p>
        </w:tc>
      </w:tr>
    </w:tbl>
    <w:p>
      <w:pPr>
        <w:pStyle w:val="Heading1"/>
      </w:pPr>
      <w:r>
        <w:t>4. Working Definition: AI + Human Readiness</w:t>
      </w:r>
    </w:p>
    <w:p>
      <w:r>
        <w:t>AI + Human Readiness is the degree to which a specific human–AI work system is prepared to use AI effectively, safely, transparently, and sustainably for a defined task and population. It is not an employee attitude score and cannot be established by AI-training completion alone.</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6"/>
              </w:rPr>
              <w:t>Layer</w:t>
            </w:r>
          </w:p>
        </w:tc>
        <w:tc>
          <w:tcPr>
            <w:tcW w:type="dxa" w:w="5040"/>
            <w:shd w:fill="0B3A53"/>
          </w:tcPr>
          <w:p>
            <w:r>
              <w:rPr>
                <w:b/>
                <w:color w:val="FFFFFF"/>
                <w:sz w:val="16"/>
              </w:rPr>
              <w:t>Core question</w:t>
            </w:r>
          </w:p>
        </w:tc>
      </w:tr>
      <w:tr>
        <w:tc>
          <w:tcPr>
            <w:tcW w:type="dxa" w:w="5040"/>
          </w:tcPr>
          <w:p>
            <w:pPr>
              <w:spacing w:after="0"/>
            </w:pPr>
            <w:r>
              <w:rPr>
                <w:sz w:val="16"/>
              </w:rPr>
              <w:t>Worker readiness</w:t>
            </w:r>
          </w:p>
        </w:tc>
        <w:tc>
          <w:tcPr>
            <w:tcW w:type="dxa" w:w="5040"/>
          </w:tcPr>
          <w:p>
            <w:pPr>
              <w:spacing w:after="0"/>
            </w:pPr>
            <w:r>
              <w:rPr>
                <w:sz w:val="16"/>
              </w:rPr>
              <w:t>Does the worker have sufficient domain knowledge, AI literacy, judgment, confidence, and escalation skill?</w:t>
            </w:r>
          </w:p>
        </w:tc>
      </w:tr>
      <w:tr>
        <w:tc>
          <w:tcPr>
            <w:tcW w:type="dxa" w:w="5040"/>
          </w:tcPr>
          <w:p>
            <w:pPr>
              <w:spacing w:after="0"/>
            </w:pPr>
            <w:r>
              <w:rPr>
                <w:sz w:val="16"/>
              </w:rPr>
              <w:t>Task fit</w:t>
            </w:r>
          </w:p>
        </w:tc>
        <w:tc>
          <w:tcPr>
            <w:tcW w:type="dxa" w:w="5040"/>
          </w:tcPr>
          <w:p>
            <w:pPr>
              <w:spacing w:after="0"/>
            </w:pPr>
            <w:r>
              <w:rPr>
                <w:sz w:val="16"/>
              </w:rPr>
              <w:t>Is the task appropriate for AI assistance or automation?</w:t>
            </w:r>
          </w:p>
        </w:tc>
      </w:tr>
      <w:tr>
        <w:tc>
          <w:tcPr>
            <w:tcW w:type="dxa" w:w="5040"/>
          </w:tcPr>
          <w:p>
            <w:pPr>
              <w:spacing w:after="0"/>
            </w:pPr>
            <w:r>
              <w:rPr>
                <w:sz w:val="16"/>
              </w:rPr>
              <w:t>System capability</w:t>
            </w:r>
          </w:p>
        </w:tc>
        <w:tc>
          <w:tcPr>
            <w:tcW w:type="dxa" w:w="5040"/>
          </w:tcPr>
          <w:p>
            <w:pPr>
              <w:spacing w:after="0"/>
            </w:pPr>
            <w:r>
              <w:rPr>
                <w:sz w:val="16"/>
              </w:rPr>
              <w:t>Is the AI sufficiently accurate, reliable, secure, and usable?</w:t>
            </w:r>
          </w:p>
        </w:tc>
      </w:tr>
      <w:tr>
        <w:tc>
          <w:tcPr>
            <w:tcW w:type="dxa" w:w="5040"/>
          </w:tcPr>
          <w:p>
            <w:pPr>
              <w:spacing w:after="0"/>
            </w:pPr>
            <w:r>
              <w:rPr>
                <w:sz w:val="16"/>
              </w:rPr>
              <w:t>Workflow integration</w:t>
            </w:r>
          </w:p>
        </w:tc>
        <w:tc>
          <w:tcPr>
            <w:tcW w:type="dxa" w:w="5040"/>
          </w:tcPr>
          <w:p>
            <w:pPr>
              <w:spacing w:after="0"/>
            </w:pPr>
            <w:r>
              <w:rPr>
                <w:sz w:val="16"/>
              </w:rPr>
              <w:t>Does it fit production without harmful friction?</w:t>
            </w:r>
          </w:p>
        </w:tc>
      </w:tr>
      <w:tr>
        <w:tc>
          <w:tcPr>
            <w:tcW w:type="dxa" w:w="5040"/>
          </w:tcPr>
          <w:p>
            <w:pPr>
              <w:spacing w:after="0"/>
            </w:pPr>
            <w:r>
              <w:rPr>
                <w:sz w:val="16"/>
              </w:rPr>
              <w:t>Human authority</w:t>
            </w:r>
          </w:p>
        </w:tc>
        <w:tc>
          <w:tcPr>
            <w:tcW w:type="dxa" w:w="5040"/>
          </w:tcPr>
          <w:p>
            <w:pPr>
              <w:spacing w:after="0"/>
            </w:pPr>
            <w:r>
              <w:rPr>
                <w:sz w:val="16"/>
              </w:rPr>
              <w:t>Can people meaningfully review, challenge, override, and escalate?</w:t>
            </w:r>
          </w:p>
        </w:tc>
      </w:tr>
      <w:tr>
        <w:tc>
          <w:tcPr>
            <w:tcW w:type="dxa" w:w="5040"/>
          </w:tcPr>
          <w:p>
            <w:pPr>
              <w:spacing w:after="0"/>
            </w:pPr>
            <w:r>
              <w:rPr>
                <w:sz w:val="16"/>
              </w:rPr>
              <w:t>Leadership</w:t>
            </w:r>
          </w:p>
        </w:tc>
        <w:tc>
          <w:tcPr>
            <w:tcW w:type="dxa" w:w="5040"/>
          </w:tcPr>
          <w:p>
            <w:pPr>
              <w:spacing w:after="0"/>
            </w:pPr>
            <w:r>
              <w:rPr>
                <w:sz w:val="16"/>
              </w:rPr>
              <w:t>Do supervisors coach AI-supported judgment rather than merely demand usage?</w:t>
            </w:r>
          </w:p>
        </w:tc>
      </w:tr>
      <w:tr>
        <w:tc>
          <w:tcPr>
            <w:tcW w:type="dxa" w:w="5040"/>
          </w:tcPr>
          <w:p>
            <w:pPr>
              <w:spacing w:after="0"/>
            </w:pPr>
            <w:r>
              <w:rPr>
                <w:sz w:val="16"/>
              </w:rPr>
              <w:t>Governance</w:t>
            </w:r>
          </w:p>
        </w:tc>
        <w:tc>
          <w:tcPr>
            <w:tcW w:type="dxa" w:w="5040"/>
          </w:tcPr>
          <w:p>
            <w:pPr>
              <w:spacing w:after="0"/>
            </w:pPr>
            <w:r>
              <w:rPr>
                <w:sz w:val="16"/>
              </w:rPr>
              <w:t>Are monitoring, privacy, accountability, incidents, and risk ownership defined?</w:t>
            </w:r>
          </w:p>
        </w:tc>
      </w:tr>
      <w:tr>
        <w:tc>
          <w:tcPr>
            <w:tcW w:type="dxa" w:w="5040"/>
          </w:tcPr>
          <w:p>
            <w:pPr>
              <w:spacing w:after="0"/>
            </w:pPr>
            <w:r>
              <w:rPr>
                <w:sz w:val="16"/>
              </w:rPr>
              <w:t>Value alignment</w:t>
            </w:r>
          </w:p>
        </w:tc>
        <w:tc>
          <w:tcPr>
            <w:tcW w:type="dxa" w:w="5040"/>
          </w:tcPr>
          <w:p>
            <w:pPr>
              <w:spacing w:after="0"/>
            </w:pPr>
            <w:r>
              <w:rPr>
                <w:sz w:val="16"/>
              </w:rPr>
              <w:t>Does AI improve quality, resolution, CX, learning, sustainability and cost—not one narrow metric?</w:t>
            </w:r>
          </w:p>
        </w:tc>
      </w:tr>
    </w:tbl>
    <w:p>
      <w:pPr>
        <w:pStyle w:val="Heading1"/>
      </w:pPr>
      <w:r>
        <w:t>5. Contact-Center AI Use-Case Taxonomy</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6"/>
              </w:rPr>
              <w:t>Use case</w:t>
            </w:r>
          </w:p>
        </w:tc>
        <w:tc>
          <w:tcPr>
            <w:tcW w:type="dxa" w:w="3360"/>
            <w:shd w:fill="0B3A53"/>
          </w:tcPr>
          <w:p>
            <w:r>
              <w:rPr>
                <w:b/>
                <w:color w:val="FFFFFF"/>
                <w:sz w:val="16"/>
              </w:rPr>
              <w:t>Potential value</w:t>
            </w:r>
          </w:p>
        </w:tc>
        <w:tc>
          <w:tcPr>
            <w:tcW w:type="dxa" w:w="3360"/>
            <w:shd w:fill="0B3A53"/>
          </w:tcPr>
          <w:p>
            <w:r>
              <w:rPr>
                <w:b/>
                <w:color w:val="FFFFFF"/>
                <w:sz w:val="16"/>
              </w:rPr>
              <w:t>Primary risk</w:t>
            </w:r>
          </w:p>
        </w:tc>
      </w:tr>
      <w:tr>
        <w:tc>
          <w:tcPr>
            <w:tcW w:type="dxa" w:w="3360"/>
          </w:tcPr>
          <w:p>
            <w:pPr>
              <w:spacing w:after="0"/>
            </w:pPr>
            <w:r>
              <w:rPr>
                <w:sz w:val="16"/>
              </w:rPr>
              <w:t>Agent assist</w:t>
            </w:r>
          </w:p>
        </w:tc>
        <w:tc>
          <w:tcPr>
            <w:tcW w:type="dxa" w:w="3360"/>
          </w:tcPr>
          <w:p>
            <w:pPr>
              <w:spacing w:after="0"/>
            </w:pPr>
            <w:r>
              <w:rPr>
                <w:sz w:val="16"/>
              </w:rPr>
              <w:t>Knowledge access, suggested responses, learning</w:t>
            </w:r>
          </w:p>
        </w:tc>
        <w:tc>
          <w:tcPr>
            <w:tcW w:type="dxa" w:w="3360"/>
          </w:tcPr>
          <w:p>
            <w:pPr>
              <w:spacing w:after="0"/>
            </w:pPr>
            <w:r>
              <w:rPr>
                <w:sz w:val="16"/>
              </w:rPr>
              <w:t>Overreliance, hallucination, constrained expert judgment</w:t>
            </w:r>
          </w:p>
        </w:tc>
      </w:tr>
      <w:tr>
        <w:tc>
          <w:tcPr>
            <w:tcW w:type="dxa" w:w="3360"/>
          </w:tcPr>
          <w:p>
            <w:pPr>
              <w:spacing w:after="0"/>
            </w:pPr>
            <w:r>
              <w:rPr>
                <w:sz w:val="16"/>
              </w:rPr>
              <w:t>Knowledge retrieval/summarization</w:t>
            </w:r>
          </w:p>
        </w:tc>
        <w:tc>
          <w:tcPr>
            <w:tcW w:type="dxa" w:w="3360"/>
          </w:tcPr>
          <w:p>
            <w:pPr>
              <w:spacing w:after="0"/>
            </w:pPr>
            <w:r>
              <w:rPr>
                <w:sz w:val="16"/>
              </w:rPr>
              <w:t>Less search/admin time</w:t>
            </w:r>
          </w:p>
        </w:tc>
        <w:tc>
          <w:tcPr>
            <w:tcW w:type="dxa" w:w="3360"/>
          </w:tcPr>
          <w:p>
            <w:pPr>
              <w:spacing w:after="0"/>
            </w:pPr>
            <w:r>
              <w:rPr>
                <w:sz w:val="16"/>
              </w:rPr>
              <w:t>Incorrect/stale synthesis</w:t>
            </w:r>
          </w:p>
        </w:tc>
      </w:tr>
      <w:tr>
        <w:tc>
          <w:tcPr>
            <w:tcW w:type="dxa" w:w="3360"/>
          </w:tcPr>
          <w:p>
            <w:pPr>
              <w:spacing w:after="0"/>
            </w:pPr>
            <w:r>
              <w:rPr>
                <w:sz w:val="16"/>
              </w:rPr>
              <w:t>After-contact documentation</w:t>
            </w:r>
          </w:p>
        </w:tc>
        <w:tc>
          <w:tcPr>
            <w:tcW w:type="dxa" w:w="3360"/>
          </w:tcPr>
          <w:p>
            <w:pPr>
              <w:spacing w:after="0"/>
            </w:pPr>
            <w:r>
              <w:rPr>
                <w:sz w:val="16"/>
              </w:rPr>
              <w:t>Capacity release</w:t>
            </w:r>
          </w:p>
        </w:tc>
        <w:tc>
          <w:tcPr>
            <w:tcW w:type="dxa" w:w="3360"/>
          </w:tcPr>
          <w:p>
            <w:pPr>
              <w:spacing w:after="0"/>
            </w:pPr>
            <w:r>
              <w:rPr>
                <w:sz w:val="16"/>
              </w:rPr>
              <w:t>Privacy, accuracy, missing nuance</w:t>
            </w:r>
          </w:p>
        </w:tc>
      </w:tr>
      <w:tr>
        <w:tc>
          <w:tcPr>
            <w:tcW w:type="dxa" w:w="3360"/>
          </w:tcPr>
          <w:p>
            <w:pPr>
              <w:spacing w:after="0"/>
            </w:pPr>
            <w:r>
              <w:rPr>
                <w:sz w:val="16"/>
              </w:rPr>
              <w:t>Quality analytics/coaching</w:t>
            </w:r>
          </w:p>
        </w:tc>
        <w:tc>
          <w:tcPr>
            <w:tcW w:type="dxa" w:w="3360"/>
          </w:tcPr>
          <w:p>
            <w:pPr>
              <w:spacing w:after="0"/>
            </w:pPr>
            <w:r>
              <w:rPr>
                <w:sz w:val="16"/>
              </w:rPr>
              <w:t>Broader interaction review</w:t>
            </w:r>
          </w:p>
        </w:tc>
        <w:tc>
          <w:tcPr>
            <w:tcW w:type="dxa" w:w="3360"/>
          </w:tcPr>
          <w:p>
            <w:pPr>
              <w:spacing w:after="0"/>
            </w:pPr>
            <w:r>
              <w:rPr>
                <w:sz w:val="16"/>
              </w:rPr>
              <w:t>Surveillance, opaque scoring, punitive use</w:t>
            </w:r>
          </w:p>
        </w:tc>
      </w:tr>
      <w:tr>
        <w:tc>
          <w:tcPr>
            <w:tcW w:type="dxa" w:w="3360"/>
          </w:tcPr>
          <w:p>
            <w:pPr>
              <w:spacing w:after="0"/>
            </w:pPr>
            <w:r>
              <w:rPr>
                <w:sz w:val="16"/>
              </w:rPr>
              <w:t>Routing/prioritization</w:t>
            </w:r>
          </w:p>
        </w:tc>
        <w:tc>
          <w:tcPr>
            <w:tcW w:type="dxa" w:w="3360"/>
          </w:tcPr>
          <w:p>
            <w:pPr>
              <w:spacing w:after="0"/>
            </w:pPr>
            <w:r>
              <w:rPr>
                <w:sz w:val="16"/>
              </w:rPr>
              <w:t>Better skill/need matching</w:t>
            </w:r>
          </w:p>
        </w:tc>
        <w:tc>
          <w:tcPr>
            <w:tcW w:type="dxa" w:w="3360"/>
          </w:tcPr>
          <w:p>
            <w:pPr>
              <w:spacing w:after="0"/>
            </w:pPr>
            <w:r>
              <w:rPr>
                <w:sz w:val="16"/>
              </w:rPr>
              <w:t>Bias, hidden rules</w:t>
            </w:r>
          </w:p>
        </w:tc>
      </w:tr>
      <w:tr>
        <w:tc>
          <w:tcPr>
            <w:tcW w:type="dxa" w:w="3360"/>
          </w:tcPr>
          <w:p>
            <w:pPr>
              <w:spacing w:after="0"/>
            </w:pPr>
            <w:r>
              <w:rPr>
                <w:sz w:val="16"/>
              </w:rPr>
              <w:t>WFM support</w:t>
            </w:r>
          </w:p>
        </w:tc>
        <w:tc>
          <w:tcPr>
            <w:tcW w:type="dxa" w:w="3360"/>
          </w:tcPr>
          <w:p>
            <w:pPr>
              <w:spacing w:after="0"/>
            </w:pPr>
            <w:r>
              <w:rPr>
                <w:sz w:val="16"/>
              </w:rPr>
              <w:t>Planning/capacity support</w:t>
            </w:r>
          </w:p>
        </w:tc>
        <w:tc>
          <w:tcPr>
            <w:tcW w:type="dxa" w:w="3360"/>
          </w:tcPr>
          <w:p>
            <w:pPr>
              <w:spacing w:after="0"/>
            </w:pPr>
            <w:r>
              <w:rPr>
                <w:sz w:val="16"/>
              </w:rPr>
              <w:t>False precision, accountability confusion</w:t>
            </w:r>
          </w:p>
        </w:tc>
      </w:tr>
      <w:tr>
        <w:tc>
          <w:tcPr>
            <w:tcW w:type="dxa" w:w="3360"/>
          </w:tcPr>
          <w:p>
            <w:pPr>
              <w:spacing w:after="0"/>
            </w:pPr>
            <w:r>
              <w:rPr>
                <w:sz w:val="16"/>
              </w:rPr>
              <w:t>Customer bots</w:t>
            </w:r>
          </w:p>
        </w:tc>
        <w:tc>
          <w:tcPr>
            <w:tcW w:type="dxa" w:w="3360"/>
          </w:tcPr>
          <w:p>
            <w:pPr>
              <w:spacing w:after="0"/>
            </w:pPr>
            <w:r>
              <w:rPr>
                <w:sz w:val="16"/>
              </w:rPr>
              <w:t>Simple-case resolution</w:t>
            </w:r>
          </w:p>
        </w:tc>
        <w:tc>
          <w:tcPr>
            <w:tcW w:type="dxa" w:w="3360"/>
          </w:tcPr>
          <w:p>
            <w:pPr>
              <w:spacing w:after="0"/>
            </w:pPr>
            <w:r>
              <w:rPr>
                <w:sz w:val="16"/>
              </w:rPr>
              <w:t>Containment traps, escalation failure</w:t>
            </w:r>
          </w:p>
        </w:tc>
      </w:tr>
      <w:tr>
        <w:tc>
          <w:tcPr>
            <w:tcW w:type="dxa" w:w="3360"/>
          </w:tcPr>
          <w:p>
            <w:pPr>
              <w:spacing w:after="0"/>
            </w:pPr>
            <w:r>
              <w:rPr>
                <w:sz w:val="16"/>
              </w:rPr>
              <w:t>Translation/accessibility</w:t>
            </w:r>
          </w:p>
        </w:tc>
        <w:tc>
          <w:tcPr>
            <w:tcW w:type="dxa" w:w="3360"/>
          </w:tcPr>
          <w:p>
            <w:pPr>
              <w:spacing w:after="0"/>
            </w:pPr>
            <w:r>
              <w:rPr>
                <w:sz w:val="16"/>
              </w:rPr>
              <w:t>Language/access support</w:t>
            </w:r>
          </w:p>
        </w:tc>
        <w:tc>
          <w:tcPr>
            <w:tcW w:type="dxa" w:w="3360"/>
          </w:tcPr>
          <w:p>
            <w:pPr>
              <w:spacing w:after="0"/>
            </w:pPr>
            <w:r>
              <w:rPr>
                <w:sz w:val="16"/>
              </w:rPr>
              <w:t>Meaning loss, confidentiality</w:t>
            </w:r>
          </w:p>
        </w:tc>
      </w:tr>
      <w:tr>
        <w:tc>
          <w:tcPr>
            <w:tcW w:type="dxa" w:w="3360"/>
          </w:tcPr>
          <w:p>
            <w:pPr>
              <w:spacing w:after="0"/>
            </w:pPr>
            <w:r>
              <w:rPr>
                <w:sz w:val="16"/>
              </w:rPr>
              <w:t>Next-best-action</w:t>
            </w:r>
          </w:p>
        </w:tc>
        <w:tc>
          <w:tcPr>
            <w:tcW w:type="dxa" w:w="3360"/>
          </w:tcPr>
          <w:p>
            <w:pPr>
              <w:spacing w:after="0"/>
            </w:pPr>
            <w:r>
              <w:rPr>
                <w:sz w:val="16"/>
              </w:rPr>
              <w:t>Relevant offers/prompts</w:t>
            </w:r>
          </w:p>
        </w:tc>
        <w:tc>
          <w:tcPr>
            <w:tcW w:type="dxa" w:w="3360"/>
          </w:tcPr>
          <w:p>
            <w:pPr>
              <w:spacing w:after="0"/>
            </w:pPr>
            <w:r>
              <w:rPr>
                <w:sz w:val="16"/>
              </w:rPr>
              <w:t>Manipulation, inappropriate targeting</w:t>
            </w:r>
          </w:p>
        </w:tc>
      </w:tr>
      <w:tr>
        <w:tc>
          <w:tcPr>
            <w:tcW w:type="dxa" w:w="3360"/>
          </w:tcPr>
          <w:p>
            <w:pPr>
              <w:spacing w:after="0"/>
            </w:pPr>
            <w:r>
              <w:rPr>
                <w:sz w:val="16"/>
              </w:rPr>
              <w:t>Performance management</w:t>
            </w:r>
          </w:p>
        </w:tc>
        <w:tc>
          <w:tcPr>
            <w:tcW w:type="dxa" w:w="3360"/>
          </w:tcPr>
          <w:p>
            <w:pPr>
              <w:spacing w:after="0"/>
            </w:pPr>
            <w:r>
              <w:rPr>
                <w:sz w:val="16"/>
              </w:rPr>
              <w:t>Pattern identification</w:t>
            </w:r>
          </w:p>
        </w:tc>
        <w:tc>
          <w:tcPr>
            <w:tcW w:type="dxa" w:w="3360"/>
          </w:tcPr>
          <w:p>
            <w:pPr>
              <w:spacing w:after="0"/>
            </w:pPr>
            <w:r>
              <w:rPr>
                <w:sz w:val="16"/>
              </w:rPr>
              <w:t>Algorithmic control, fairness, due process</w:t>
            </w:r>
          </w:p>
        </w:tc>
      </w:tr>
    </w:tbl>
    <w:p>
      <w:pPr>
        <w:pStyle w:val="Heading1"/>
      </w:pPr>
      <w:r>
        <w:t>6. Hypotheses</w:t>
      </w:r>
    </w:p>
    <w:p>
      <w:r>
        <w:rPr>
          <w:b/>
        </w:rPr>
        <w:t>H1 — Augmentation Effect</w:t>
      </w:r>
      <w:r>
        <w:t>: Well-integrated AI assistance will improve selected productivity and quality outcomes, with material heterogeneity by experience, skill, task, and system quality.</w:t>
      </w:r>
    </w:p>
    <w:p>
      <w:r>
        <w:rPr>
          <w:b/>
        </w:rPr>
        <w:t>H2 — Experience-Curve Compression</w:t>
      </w:r>
      <w:r>
        <w:t>: AI assistance will create larger short-term gains for novice/lower-performing workers when it delivers high-quality task knowledge.</w:t>
      </w:r>
    </w:p>
    <w:p>
      <w:r>
        <w:rPr>
          <w:b/>
        </w:rPr>
        <w:t>H3 — Learning Transfer</w:t>
      </w:r>
      <w:r>
        <w:t>: AI accelerates learning only when workers actively process and verify recommendations; passive acceptance may improve immediate output without durable skill growth.</w:t>
      </w:r>
    </w:p>
    <w:p>
      <w:r>
        <w:rPr>
          <w:b/>
        </w:rPr>
        <w:t>H4 — Domain Knowledge Remains Necessary</w:t>
      </w:r>
      <w:r>
        <w:t>: Domain knowledge and judgment improve detection, challenge, and recovery from incorrect AI outputs.</w:t>
      </w:r>
    </w:p>
    <w:p>
      <w:r>
        <w:rPr>
          <w:b/>
        </w:rPr>
        <w:t>H5 — Capacity Release vs. Work Intensification</w:t>
      </w:r>
      <w:r>
        <w:t>: AI time savings improve sustainability only if released capacity is intentionally reinvested rather than automatically converted into tighter workload expectations.</w:t>
      </w:r>
    </w:p>
    <w:p>
      <w:r>
        <w:rPr>
          <w:b/>
        </w:rPr>
        <w:t>H6 — Human Oversight Quality</w:t>
      </w:r>
      <w:r>
        <w:t>: Meaningful review, override, escalation, and contestability reduce harm more than nominal human-in-the-loop arrangements without real authority.</w:t>
      </w:r>
    </w:p>
    <w:p>
      <w:r>
        <w:rPr>
          <w:b/>
        </w:rPr>
        <w:t>H7 — Transparency and Trust</w:t>
      </w:r>
      <w:r>
        <w:t>: Appropriate use improves when intended use, limitations, data use, monitoring, and accountability are understandable and credible.</w:t>
      </w:r>
    </w:p>
    <w:p>
      <w:r>
        <w:rPr>
          <w:b/>
        </w:rPr>
        <w:t>H8 — Algorithmic Management Is Dual-Edged</w:t>
      </w:r>
      <w:r>
        <w:t>: Developmental/enabling configurations may help; controlling, opaque, or punitive configurations may reduce autonomy, trust, fairness, or well-being.</w:t>
      </w:r>
    </w:p>
    <w:p>
      <w:r>
        <w:rPr>
          <w:b/>
        </w:rPr>
        <w:t>H9 — AI Literacy Is Role-Specific</w:t>
      </w:r>
      <w:r>
        <w:t>: Useful literacy is task-specific verification, uncertainty recognition, privacy/security, escalation, and responsible use—not generic AI familiarity.</w:t>
      </w:r>
    </w:p>
    <w:p>
      <w:r>
        <w:rPr>
          <w:b/>
        </w:rPr>
        <w:t>H10 — Customer Outcome Boundary</w:t>
      </w:r>
      <w:r>
        <w:t>: Productivity gains that worsen accuracy, resolution, fairness, customer trust, accessibility, or escalation quality are not successful augmentation.</w:t>
      </w:r>
    </w:p>
    <w:p>
      <w:r>
        <w:rPr>
          <w:b/>
        </w:rPr>
        <w:t>H11 — Skill-Erosion Risk</w:t>
      </w:r>
      <w:r>
        <w:t>: Persistent delegation of core reasoning/communication may reduce independent capability without practice, verification, and non-AI competence.</w:t>
      </w:r>
    </w:p>
    <w:p>
      <w:r>
        <w:rPr>
          <w:b/>
        </w:rPr>
        <w:t>H12 — Displacement Is Task- and Context-Dependent</w:t>
      </w:r>
      <w:r>
        <w:t>: AI exposure will often transform task bundles, but some tasks/roles may shrink; augmentation cannot be assumed.</w:t>
      </w:r>
    </w:p>
    <w:p>
      <w:pPr>
        <w:pStyle w:val="Heading1"/>
      </w:pPr>
      <w:r>
        <w:t>7. Evidence Sufficiency Decision Framework</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6"/>
              </w:rPr>
              <w:t>Status</w:t>
            </w:r>
          </w:p>
        </w:tc>
        <w:tc>
          <w:tcPr>
            <w:tcW w:type="dxa" w:w="5040"/>
            <w:shd w:fill="0B3A53"/>
          </w:tcPr>
          <w:p>
            <w:r>
              <w:rPr>
                <w:b/>
                <w:color w:val="FFFFFF"/>
                <w:sz w:val="16"/>
              </w:rPr>
              <w:t>Action</w:t>
            </w:r>
          </w:p>
        </w:tc>
      </w:tr>
      <w:tr>
        <w:tc>
          <w:tcPr>
            <w:tcW w:type="dxa" w:w="5040"/>
          </w:tcPr>
          <w:p>
            <w:pPr>
              <w:spacing w:after="0"/>
            </w:pPr>
            <w:r>
              <w:rPr>
                <w:sz w:val="16"/>
              </w:rPr>
              <w:t>ESTABLISHED</w:t>
            </w:r>
          </w:p>
        </w:tc>
        <w:tc>
          <w:tcPr>
            <w:tcW w:type="dxa" w:w="5040"/>
          </w:tcPr>
          <w:p>
            <w:pPr>
              <w:spacing w:after="0"/>
            </w:pPr>
            <w:r>
              <w:rPr>
                <w:sz w:val="16"/>
              </w:rPr>
              <w:t>Use external evidence; do not duplicate mature findings.</w:t>
            </w:r>
          </w:p>
        </w:tc>
      </w:tr>
      <w:tr>
        <w:tc>
          <w:tcPr>
            <w:tcW w:type="dxa" w:w="5040"/>
          </w:tcPr>
          <w:p>
            <w:pPr>
              <w:spacing w:after="0"/>
            </w:pPr>
            <w:r>
              <w:rPr>
                <w:sz w:val="16"/>
              </w:rPr>
              <w:t>SUPPORTED BUT TRANSFERABILITY UNKNOWN</w:t>
            </w:r>
          </w:p>
        </w:tc>
        <w:tc>
          <w:tcPr>
            <w:tcW w:type="dxa" w:w="5040"/>
          </w:tcPr>
          <w:p>
            <w:pPr>
              <w:spacing w:after="0"/>
            </w:pPr>
            <w:r>
              <w:rPr>
                <w:sz w:val="16"/>
              </w:rPr>
              <w:t>Test only contact-center/task/population transferability.</w:t>
            </w:r>
          </w:p>
        </w:tc>
      </w:tr>
      <w:tr>
        <w:tc>
          <w:tcPr>
            <w:tcW w:type="dxa" w:w="5040"/>
          </w:tcPr>
          <w:p>
            <w:pPr>
              <w:spacing w:after="0"/>
            </w:pPr>
            <w:r>
              <w:rPr>
                <w:sz w:val="16"/>
              </w:rPr>
              <w:t>MIXED</w:t>
            </w:r>
          </w:p>
        </w:tc>
        <w:tc>
          <w:tcPr>
            <w:tcW w:type="dxa" w:w="5040"/>
          </w:tcPr>
          <w:p>
            <w:pPr>
              <w:spacing w:after="0"/>
            </w:pPr>
            <w:r>
              <w:rPr>
                <w:sz w:val="16"/>
              </w:rPr>
              <w:t>Investigate moderators, implementation and tradeoffs.</w:t>
            </w:r>
          </w:p>
        </w:tc>
      </w:tr>
      <w:tr>
        <w:tc>
          <w:tcPr>
            <w:tcW w:type="dxa" w:w="5040"/>
          </w:tcPr>
          <w:p>
            <w:pPr>
              <w:spacing w:after="0"/>
            </w:pPr>
            <w:r>
              <w:rPr>
                <w:sz w:val="16"/>
              </w:rPr>
              <w:t>EVIDENCE GAP</w:t>
            </w:r>
          </w:p>
        </w:tc>
        <w:tc>
          <w:tcPr>
            <w:tcW w:type="dxa" w:w="5040"/>
          </w:tcPr>
          <w:p>
            <w:pPr>
              <w:spacing w:after="0"/>
            </w:pPr>
            <w:r>
              <w:rPr>
                <w:sz w:val="16"/>
              </w:rPr>
              <w:t>Collect targeted evidence if decision-relevant.</w:t>
            </w:r>
          </w:p>
        </w:tc>
      </w:tr>
      <w:tr>
        <w:tc>
          <w:tcPr>
            <w:tcW w:type="dxa" w:w="5040"/>
          </w:tcPr>
          <w:p>
            <w:pPr>
              <w:spacing w:after="0"/>
            </w:pPr>
            <w:r>
              <w:rPr>
                <w:sz w:val="16"/>
              </w:rPr>
              <w:t>CONTRADICTED</w:t>
            </w:r>
          </w:p>
        </w:tc>
        <w:tc>
          <w:tcPr>
            <w:tcW w:type="dxa" w:w="5040"/>
          </w:tcPr>
          <w:p>
            <w:pPr>
              <w:spacing w:after="0"/>
            </w:pPr>
            <w:r>
              <w:rPr>
                <w:sz w:val="16"/>
              </w:rPr>
              <w:t>Revise, narrow, or reject.</w:t>
            </w:r>
          </w:p>
        </w:tc>
      </w:tr>
      <w:tr>
        <w:tc>
          <w:tcPr>
            <w:tcW w:type="dxa" w:w="5040"/>
          </w:tcPr>
          <w:p>
            <w:pPr>
              <w:spacing w:after="0"/>
            </w:pPr>
            <w:r>
              <w:rPr>
                <w:sz w:val="16"/>
              </w:rPr>
              <w:t>RESOLVECX-SPECIFIC GAP</w:t>
            </w:r>
          </w:p>
        </w:tc>
        <w:tc>
          <w:tcPr>
            <w:tcW w:type="dxa" w:w="5040"/>
          </w:tcPr>
          <w:p>
            <w:pPr>
              <w:spacing w:after="0"/>
            </w:pPr>
            <w:r>
              <w:rPr>
                <w:sz w:val="16"/>
              </w:rPr>
              <w:t>Directly evaluate any ResolveCX intervention before effectiveness claims.</w:t>
            </w:r>
          </w:p>
        </w:tc>
      </w:tr>
    </w:tbl>
    <w:p>
      <w:pPr>
        <w:pStyle w:val="Heading1"/>
      </w:pPr>
      <w:r>
        <w:t>8. Hypothesis-Level Evidence Triage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Hypothesis</w:t>
            </w:r>
          </w:p>
        </w:tc>
        <w:tc>
          <w:tcPr>
            <w:tcW w:type="dxa" w:w="3360"/>
            <w:shd w:fill="0B3A53"/>
          </w:tcPr>
          <w:p>
            <w:r>
              <w:rPr>
                <w:b/>
                <w:color w:val="FFFFFF"/>
                <w:sz w:val="15"/>
              </w:rPr>
              <w:t>Current status</w:t>
            </w:r>
          </w:p>
        </w:tc>
        <w:tc>
          <w:tcPr>
            <w:tcW w:type="dxa" w:w="3360"/>
            <w:shd w:fill="0B3A53"/>
          </w:tcPr>
          <w:p>
            <w:r>
              <w:rPr>
                <w:b/>
                <w:color w:val="FFFFFF"/>
                <w:sz w:val="15"/>
              </w:rPr>
              <w:t>Implication</w:t>
            </w:r>
          </w:p>
        </w:tc>
      </w:tr>
      <w:tr>
        <w:tc>
          <w:tcPr>
            <w:tcW w:type="dxa" w:w="3360"/>
          </w:tcPr>
          <w:p>
            <w:pPr>
              <w:spacing w:after="0"/>
            </w:pPr>
            <w:r>
              <w:rPr>
                <w:sz w:val="15"/>
              </w:rPr>
              <w:t>H1 Augmentation</w:t>
            </w:r>
          </w:p>
        </w:tc>
        <w:tc>
          <w:tcPr>
            <w:tcW w:type="dxa" w:w="3360"/>
          </w:tcPr>
          <w:p>
            <w:pPr>
              <w:spacing w:after="0"/>
            </w:pPr>
            <w:r>
              <w:rPr>
                <w:sz w:val="15"/>
              </w:rPr>
              <w:t>SUPPORTED / HETEROGENEOUS</w:t>
            </w:r>
          </w:p>
        </w:tc>
        <w:tc>
          <w:tcPr>
            <w:tcW w:type="dxa" w:w="3360"/>
          </w:tcPr>
          <w:p>
            <w:pPr>
              <w:spacing w:after="0"/>
            </w:pPr>
            <w:r>
              <w:rPr>
                <w:sz w:val="15"/>
              </w:rPr>
              <w:t>Customer-support field evidence shows gains, not universal gains.</w:t>
            </w:r>
          </w:p>
        </w:tc>
      </w:tr>
      <w:tr>
        <w:tc>
          <w:tcPr>
            <w:tcW w:type="dxa" w:w="3360"/>
          </w:tcPr>
          <w:p>
            <w:pPr>
              <w:spacing w:after="0"/>
            </w:pPr>
            <w:r>
              <w:rPr>
                <w:sz w:val="15"/>
              </w:rPr>
              <w:t>H2 Experience curve</w:t>
            </w:r>
          </w:p>
        </w:tc>
        <w:tc>
          <w:tcPr>
            <w:tcW w:type="dxa" w:w="3360"/>
          </w:tcPr>
          <w:p>
            <w:pPr>
              <w:spacing w:after="0"/>
            </w:pPr>
            <w:r>
              <w:rPr>
                <w:sz w:val="15"/>
              </w:rPr>
              <w:t>SUPPORTED</w:t>
            </w:r>
          </w:p>
        </w:tc>
        <w:tc>
          <w:tcPr>
            <w:tcW w:type="dxa" w:w="3360"/>
          </w:tcPr>
          <w:p>
            <w:pPr>
              <w:spacing w:after="0"/>
            </w:pPr>
            <w:r>
              <w:rPr>
                <w:sz w:val="15"/>
              </w:rPr>
              <w:t>Large customer-support study found much larger gains among novice/lower-skilled workers.</w:t>
            </w:r>
          </w:p>
        </w:tc>
      </w:tr>
      <w:tr>
        <w:tc>
          <w:tcPr>
            <w:tcW w:type="dxa" w:w="3360"/>
          </w:tcPr>
          <w:p>
            <w:pPr>
              <w:spacing w:after="0"/>
            </w:pPr>
            <w:r>
              <w:rPr>
                <w:sz w:val="15"/>
              </w:rPr>
              <w:t>H3 Learning</w:t>
            </w:r>
          </w:p>
        </w:tc>
        <w:tc>
          <w:tcPr>
            <w:tcW w:type="dxa" w:w="3360"/>
          </w:tcPr>
          <w:p>
            <w:pPr>
              <w:spacing w:after="0"/>
            </w:pPr>
            <w:r>
              <w:rPr>
                <w:sz w:val="15"/>
              </w:rPr>
              <w:t>SUPPORTED BUT UNCERTAIN</w:t>
            </w:r>
          </w:p>
        </w:tc>
        <w:tc>
          <w:tcPr>
            <w:tcW w:type="dxa" w:w="3360"/>
          </w:tcPr>
          <w:p>
            <w:pPr>
              <w:spacing w:after="0"/>
            </w:pPr>
            <w:r>
              <w:rPr>
                <w:sz w:val="15"/>
              </w:rPr>
              <w:t>Suggestive learning evidence exists; durable independent transfer needs longitudinal evidence.</w:t>
            </w:r>
          </w:p>
        </w:tc>
      </w:tr>
      <w:tr>
        <w:tc>
          <w:tcPr>
            <w:tcW w:type="dxa" w:w="3360"/>
          </w:tcPr>
          <w:p>
            <w:pPr>
              <w:spacing w:after="0"/>
            </w:pPr>
            <w:r>
              <w:rPr>
                <w:sz w:val="15"/>
              </w:rPr>
              <w:t>H4 Domain knowledge</w:t>
            </w:r>
          </w:p>
        </w:tc>
        <w:tc>
          <w:tcPr>
            <w:tcW w:type="dxa" w:w="3360"/>
          </w:tcPr>
          <w:p>
            <w:pPr>
              <w:spacing w:after="0"/>
            </w:pPr>
            <w:r>
              <w:rPr>
                <w:sz w:val="15"/>
              </w:rPr>
              <w:t>SUPPORTED CONCEPTUALLY / TARGETED TEST</w:t>
            </w:r>
          </w:p>
        </w:tc>
        <w:tc>
          <w:tcPr>
            <w:tcW w:type="dxa" w:w="3360"/>
          </w:tcPr>
          <w:p>
            <w:pPr>
              <w:spacing w:after="0"/>
            </w:pPr>
            <w:r>
              <w:rPr>
                <w:sz w:val="15"/>
              </w:rPr>
              <w:t>Role-specific evidence remains important.</w:t>
            </w:r>
          </w:p>
        </w:tc>
      </w:tr>
      <w:tr>
        <w:tc>
          <w:tcPr>
            <w:tcW w:type="dxa" w:w="3360"/>
          </w:tcPr>
          <w:p>
            <w:pPr>
              <w:spacing w:after="0"/>
            </w:pPr>
            <w:r>
              <w:rPr>
                <w:sz w:val="15"/>
              </w:rPr>
              <w:t>H5 Capacity release</w:t>
            </w:r>
          </w:p>
        </w:tc>
        <w:tc>
          <w:tcPr>
            <w:tcW w:type="dxa" w:w="3360"/>
          </w:tcPr>
          <w:p>
            <w:pPr>
              <w:spacing w:after="0"/>
            </w:pPr>
            <w:r>
              <w:rPr>
                <w:sz w:val="15"/>
              </w:rPr>
              <w:t>EVIDENCE GAP / HIGH PRIORITY</w:t>
            </w:r>
          </w:p>
        </w:tc>
        <w:tc>
          <w:tcPr>
            <w:tcW w:type="dxa" w:w="3360"/>
          </w:tcPr>
          <w:p>
            <w:pPr>
              <w:spacing w:after="0"/>
            </w:pPr>
            <w:r>
              <w:rPr>
                <w:sz w:val="15"/>
              </w:rPr>
              <w:t>Productivity evidence does not establish how saved time is reinvested.</w:t>
            </w:r>
          </w:p>
        </w:tc>
      </w:tr>
      <w:tr>
        <w:tc>
          <w:tcPr>
            <w:tcW w:type="dxa" w:w="3360"/>
          </w:tcPr>
          <w:p>
            <w:pPr>
              <w:spacing w:after="0"/>
            </w:pPr>
            <w:r>
              <w:rPr>
                <w:sz w:val="15"/>
              </w:rPr>
              <w:t>H6 Oversight</w:t>
            </w:r>
          </w:p>
        </w:tc>
        <w:tc>
          <w:tcPr>
            <w:tcW w:type="dxa" w:w="3360"/>
          </w:tcPr>
          <w:p>
            <w:pPr>
              <w:spacing w:after="0"/>
            </w:pPr>
            <w:r>
              <w:rPr>
                <w:sz w:val="15"/>
              </w:rPr>
              <w:t>ESTABLISHED GOVERNANCE PRINCIPLE / EFFECT GAP</w:t>
            </w:r>
          </w:p>
        </w:tc>
        <w:tc>
          <w:tcPr>
            <w:tcW w:type="dxa" w:w="3360"/>
          </w:tcPr>
          <w:p>
            <w:pPr>
              <w:spacing w:after="0"/>
            </w:pPr>
            <w:r>
              <w:rPr>
                <w:sz w:val="15"/>
              </w:rPr>
              <w:t>Control effectiveness depends on actual authority/design.</w:t>
            </w:r>
          </w:p>
        </w:tc>
      </w:tr>
      <w:tr>
        <w:tc>
          <w:tcPr>
            <w:tcW w:type="dxa" w:w="3360"/>
          </w:tcPr>
          <w:p>
            <w:pPr>
              <w:spacing w:after="0"/>
            </w:pPr>
            <w:r>
              <w:rPr>
                <w:sz w:val="15"/>
              </w:rPr>
              <w:t>H7 Transparency</w:t>
            </w:r>
          </w:p>
        </w:tc>
        <w:tc>
          <w:tcPr>
            <w:tcW w:type="dxa" w:w="3360"/>
          </w:tcPr>
          <w:p>
            <w:pPr>
              <w:spacing w:after="0"/>
            </w:pPr>
            <w:r>
              <w:rPr>
                <w:sz w:val="15"/>
              </w:rPr>
              <w:t>SUPPORTED / CONTEXTUAL</w:t>
            </w:r>
          </w:p>
        </w:tc>
        <w:tc>
          <w:tcPr>
            <w:tcW w:type="dxa" w:w="3360"/>
          </w:tcPr>
          <w:p>
            <w:pPr>
              <w:spacing w:after="0"/>
            </w:pPr>
            <w:r>
              <w:rPr>
                <w:sz w:val="15"/>
              </w:rPr>
              <w:t>Implementation and monitoring context matter.</w:t>
            </w:r>
          </w:p>
        </w:tc>
      </w:tr>
      <w:tr>
        <w:tc>
          <w:tcPr>
            <w:tcW w:type="dxa" w:w="3360"/>
          </w:tcPr>
          <w:p>
            <w:pPr>
              <w:spacing w:after="0"/>
            </w:pPr>
            <w:r>
              <w:rPr>
                <w:sz w:val="15"/>
              </w:rPr>
              <w:t>H8 Algorithmic management</w:t>
            </w:r>
          </w:p>
        </w:tc>
        <w:tc>
          <w:tcPr>
            <w:tcW w:type="dxa" w:w="3360"/>
          </w:tcPr>
          <w:p>
            <w:pPr>
              <w:spacing w:after="0"/>
            </w:pPr>
            <w:r>
              <w:rPr>
                <w:sz w:val="15"/>
              </w:rPr>
              <w:t>ESTABLISHED AS DUAL-EDGED</w:t>
            </w:r>
          </w:p>
        </w:tc>
        <w:tc>
          <w:tcPr>
            <w:tcW w:type="dxa" w:w="3360"/>
          </w:tcPr>
          <w:p>
            <w:pPr>
              <w:spacing w:after="0"/>
            </w:pPr>
            <w:r>
              <w:rPr>
                <w:sz w:val="15"/>
              </w:rPr>
              <w:t>Reviews show enabling and controlling configurations.</w:t>
            </w:r>
          </w:p>
        </w:tc>
      </w:tr>
      <w:tr>
        <w:tc>
          <w:tcPr>
            <w:tcW w:type="dxa" w:w="3360"/>
          </w:tcPr>
          <w:p>
            <w:pPr>
              <w:spacing w:after="0"/>
            </w:pPr>
            <w:r>
              <w:rPr>
                <w:sz w:val="15"/>
              </w:rPr>
              <w:t>H9 AI literacy</w:t>
            </w:r>
          </w:p>
        </w:tc>
        <w:tc>
          <w:tcPr>
            <w:tcW w:type="dxa" w:w="3360"/>
          </w:tcPr>
          <w:p>
            <w:pPr>
              <w:spacing w:after="0"/>
            </w:pPr>
            <w:r>
              <w:rPr>
                <w:sz w:val="15"/>
              </w:rPr>
              <w:t>SUPPORTED / MEASUREMENT GAP</w:t>
            </w:r>
          </w:p>
        </w:tc>
        <w:tc>
          <w:tcPr>
            <w:tcW w:type="dxa" w:w="3360"/>
          </w:tcPr>
          <w:p>
            <w:pPr>
              <w:spacing w:after="0"/>
            </w:pPr>
            <w:r>
              <w:rPr>
                <w:sz w:val="15"/>
              </w:rPr>
              <w:t>Role-specific competence model still requires validation.</w:t>
            </w:r>
          </w:p>
        </w:tc>
      </w:tr>
      <w:tr>
        <w:tc>
          <w:tcPr>
            <w:tcW w:type="dxa" w:w="3360"/>
          </w:tcPr>
          <w:p>
            <w:pPr>
              <w:spacing w:after="0"/>
            </w:pPr>
            <w:r>
              <w:rPr>
                <w:sz w:val="15"/>
              </w:rPr>
              <w:t>H10 Customer boundary</w:t>
            </w:r>
          </w:p>
        </w:tc>
        <w:tc>
          <w:tcPr>
            <w:tcW w:type="dxa" w:w="3360"/>
          </w:tcPr>
          <w:p>
            <w:pPr>
              <w:spacing w:after="0"/>
            </w:pPr>
            <w:r>
              <w:rPr>
                <w:sz w:val="15"/>
              </w:rPr>
              <w:t>ESTABLISHED DESIGN PRINCIPLE</w:t>
            </w:r>
          </w:p>
        </w:tc>
        <w:tc>
          <w:tcPr>
            <w:tcW w:type="dxa" w:w="3360"/>
          </w:tcPr>
          <w:p>
            <w:pPr>
              <w:spacing w:after="0"/>
            </w:pPr>
            <w:r>
              <w:rPr>
                <w:sz w:val="15"/>
              </w:rPr>
              <w:t>Efficiency alone is insufficient.</w:t>
            </w:r>
          </w:p>
        </w:tc>
      </w:tr>
      <w:tr>
        <w:tc>
          <w:tcPr>
            <w:tcW w:type="dxa" w:w="3360"/>
          </w:tcPr>
          <w:p>
            <w:pPr>
              <w:spacing w:after="0"/>
            </w:pPr>
            <w:r>
              <w:rPr>
                <w:sz w:val="15"/>
              </w:rPr>
              <w:t>H11 Skill erosion</w:t>
            </w:r>
          </w:p>
        </w:tc>
        <w:tc>
          <w:tcPr>
            <w:tcW w:type="dxa" w:w="3360"/>
          </w:tcPr>
          <w:p>
            <w:pPr>
              <w:spacing w:after="0"/>
            </w:pPr>
            <w:r>
              <w:rPr>
                <w:sz w:val="15"/>
              </w:rPr>
              <w:t>EVIDENCE GAP / LONGITUDINAL</w:t>
            </w:r>
          </w:p>
        </w:tc>
        <w:tc>
          <w:tcPr>
            <w:tcW w:type="dxa" w:w="3360"/>
          </w:tcPr>
          <w:p>
            <w:pPr>
              <w:spacing w:after="0"/>
            </w:pPr>
            <w:r>
              <w:rPr>
                <w:sz w:val="15"/>
              </w:rPr>
              <w:t>Requires independent-skill measurement over time.</w:t>
            </w:r>
          </w:p>
        </w:tc>
      </w:tr>
      <w:tr>
        <w:tc>
          <w:tcPr>
            <w:tcW w:type="dxa" w:w="3360"/>
          </w:tcPr>
          <w:p>
            <w:pPr>
              <w:spacing w:after="0"/>
            </w:pPr>
            <w:r>
              <w:rPr>
                <w:sz w:val="15"/>
              </w:rPr>
              <w:t>H12 Displacement</w:t>
            </w:r>
          </w:p>
        </w:tc>
        <w:tc>
          <w:tcPr>
            <w:tcW w:type="dxa" w:w="3360"/>
          </w:tcPr>
          <w:p>
            <w:pPr>
              <w:spacing w:after="0"/>
            </w:pPr>
            <w:r>
              <w:rPr>
                <w:sz w:val="15"/>
              </w:rPr>
              <w:t>SUPPORTED AS TASK-DEPENDENT</w:t>
            </w:r>
          </w:p>
        </w:tc>
        <w:tc>
          <w:tcPr>
            <w:tcW w:type="dxa" w:w="3360"/>
          </w:tcPr>
          <w:p>
            <w:pPr>
              <w:spacing w:after="0"/>
            </w:pPr>
            <w:r>
              <w:rPr>
                <w:sz w:val="15"/>
              </w:rPr>
              <w:t>Exposure is widespread; highest automation exposure is much smaller.</w:t>
            </w:r>
          </w:p>
        </w:tc>
      </w:tr>
    </w:tbl>
    <w:p>
      <w:pPr>
        <w:pStyle w:val="Heading1"/>
      </w:pPr>
      <w:r>
        <w:t>9. Current External Evidence Foundation</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0B3A53"/>
          </w:tcPr>
          <w:p>
            <w:r>
              <w:rPr>
                <w:b/>
                <w:color w:val="FFFFFF"/>
                <w:sz w:val="14"/>
              </w:rPr>
              <w:t>Anchor</w:t>
            </w:r>
          </w:p>
        </w:tc>
        <w:tc>
          <w:tcPr>
            <w:tcW w:type="dxa" w:w="2520"/>
            <w:shd w:fill="0B3A53"/>
          </w:tcPr>
          <w:p>
            <w:r>
              <w:rPr>
                <w:b/>
                <w:color w:val="FFFFFF"/>
                <w:sz w:val="14"/>
              </w:rPr>
              <w:t>Evidence / scale</w:t>
            </w:r>
          </w:p>
        </w:tc>
        <w:tc>
          <w:tcPr>
            <w:tcW w:type="dxa" w:w="2520"/>
            <w:shd w:fill="0B3A53"/>
          </w:tcPr>
          <w:p>
            <w:r>
              <w:rPr>
                <w:b/>
                <w:color w:val="FFFFFF"/>
                <w:sz w:val="14"/>
              </w:rPr>
              <w:t>Contribution</w:t>
            </w:r>
          </w:p>
        </w:tc>
        <w:tc>
          <w:tcPr>
            <w:tcW w:type="dxa" w:w="2520"/>
            <w:shd w:fill="0B3A53"/>
          </w:tcPr>
          <w:p>
            <w:r>
              <w:rPr>
                <w:b/>
                <w:color w:val="FFFFFF"/>
                <w:sz w:val="14"/>
              </w:rPr>
              <w:t>Limitation</w:t>
            </w:r>
          </w:p>
        </w:tc>
      </w:tr>
      <w:tr>
        <w:tc>
          <w:tcPr>
            <w:tcW w:type="dxa" w:w="2520"/>
          </w:tcPr>
          <w:p>
            <w:pPr>
              <w:spacing w:after="0"/>
            </w:pPr>
            <w:r>
              <w:rPr>
                <w:sz w:val="14"/>
              </w:rPr>
              <w:t>Brynjolfsson, Li &amp; Raymond; NBER 2023 / QJE 2025</w:t>
            </w:r>
          </w:p>
        </w:tc>
        <w:tc>
          <w:tcPr>
            <w:tcW w:type="dxa" w:w="2520"/>
          </w:tcPr>
          <w:p>
            <w:pPr>
              <w:spacing w:after="0"/>
            </w:pPr>
            <w:r>
              <w:rPr>
                <w:sz w:val="14"/>
              </w:rPr>
              <w:t>Staggered rollout; 5,179 customer-support agents</w:t>
            </w:r>
          </w:p>
        </w:tc>
        <w:tc>
          <w:tcPr>
            <w:tcW w:type="dxa" w:w="2520"/>
          </w:tcPr>
          <w:p>
            <w:pPr>
              <w:spacing w:after="0"/>
            </w:pPr>
            <w:r>
              <w:rPr>
                <w:sz w:val="14"/>
              </w:rPr>
              <w:t>~14% average productivity gain; ~34% novice/lower-skilled gain; suggestive sentiment, retention, learning effects.</w:t>
            </w:r>
          </w:p>
        </w:tc>
        <w:tc>
          <w:tcPr>
            <w:tcW w:type="dxa" w:w="2520"/>
          </w:tcPr>
          <w:p>
            <w:pPr>
              <w:spacing w:after="0"/>
            </w:pPr>
            <w:r>
              <w:rPr>
                <w:sz w:val="14"/>
              </w:rPr>
              <w:t>One company/use case; long-term skill effects unresolved.</w:t>
            </w:r>
          </w:p>
        </w:tc>
      </w:tr>
      <w:tr>
        <w:tc>
          <w:tcPr>
            <w:tcW w:type="dxa" w:w="2520"/>
          </w:tcPr>
          <w:p>
            <w:pPr>
              <w:spacing w:after="0"/>
            </w:pPr>
            <w:r>
              <w:rPr>
                <w:sz w:val="14"/>
              </w:rPr>
              <w:t>ILO Generative AI and Jobs, 2025</w:t>
            </w:r>
          </w:p>
        </w:tc>
        <w:tc>
          <w:tcPr>
            <w:tcW w:type="dxa" w:w="2520"/>
          </w:tcPr>
          <w:p>
            <w:pPr>
              <w:spacing w:after="0"/>
            </w:pPr>
            <w:r>
              <w:rPr>
                <w:sz w:val="14"/>
              </w:rPr>
              <w:t>Global task-level index; nearly 30,000 tasks</w:t>
            </w:r>
          </w:p>
        </w:tc>
        <w:tc>
          <w:tcPr>
            <w:tcW w:type="dxa" w:w="2520"/>
          </w:tcPr>
          <w:p>
            <w:pPr>
              <w:spacing w:after="0"/>
            </w:pPr>
            <w:r>
              <w:rPr>
                <w:sz w:val="14"/>
              </w:rPr>
              <w:t>One in four workers in occupations with some GenAI exposure; clerical work highly exposed.</w:t>
            </w:r>
          </w:p>
        </w:tc>
        <w:tc>
          <w:tcPr>
            <w:tcW w:type="dxa" w:w="2520"/>
          </w:tcPr>
          <w:p>
            <w:pPr>
              <w:spacing w:after="0"/>
            </w:pPr>
            <w:r>
              <w:rPr>
                <w:sz w:val="14"/>
              </w:rPr>
              <w:t>Exposure is not observed displacement.</w:t>
            </w:r>
          </w:p>
        </w:tc>
      </w:tr>
      <w:tr>
        <w:tc>
          <w:tcPr>
            <w:tcW w:type="dxa" w:w="2520"/>
          </w:tcPr>
          <w:p>
            <w:pPr>
              <w:spacing w:after="0"/>
            </w:pPr>
            <w:r>
              <w:rPr>
                <w:sz w:val="14"/>
              </w:rPr>
              <w:t>NIST AI RMF 1.0 + GenAI Profile</w:t>
            </w:r>
          </w:p>
        </w:tc>
        <w:tc>
          <w:tcPr>
            <w:tcW w:type="dxa" w:w="2520"/>
          </w:tcPr>
          <w:p>
            <w:pPr>
              <w:spacing w:after="0"/>
            </w:pPr>
            <w:r>
              <w:rPr>
                <w:sz w:val="14"/>
              </w:rPr>
              <w:t>Cross-sector governance framework</w:t>
            </w:r>
          </w:p>
        </w:tc>
        <w:tc>
          <w:tcPr>
            <w:tcW w:type="dxa" w:w="2520"/>
          </w:tcPr>
          <w:p>
            <w:pPr>
              <w:spacing w:after="0"/>
            </w:pPr>
            <w:r>
              <w:rPr>
                <w:sz w:val="14"/>
              </w:rPr>
              <w:t>Sociotechnical governance, measurement, management, lifecycle and GenAI risks.</w:t>
            </w:r>
          </w:p>
        </w:tc>
        <w:tc>
          <w:tcPr>
            <w:tcW w:type="dxa" w:w="2520"/>
          </w:tcPr>
          <w:p>
            <w:pPr>
              <w:spacing w:after="0"/>
            </w:pPr>
            <w:r>
              <w:rPr>
                <w:sz w:val="14"/>
              </w:rPr>
              <w:t>Guidance does not prove workforce outcomes.</w:t>
            </w:r>
          </w:p>
        </w:tc>
      </w:tr>
      <w:tr>
        <w:tc>
          <w:tcPr>
            <w:tcW w:type="dxa" w:w="2520"/>
          </w:tcPr>
          <w:p>
            <w:pPr>
              <w:spacing w:after="0"/>
            </w:pPr>
            <w:r>
              <w:rPr>
                <w:sz w:val="14"/>
              </w:rPr>
              <w:t>Noponen et al., 2024</w:t>
            </w:r>
          </w:p>
        </w:tc>
        <w:tc>
          <w:tcPr>
            <w:tcW w:type="dxa" w:w="2520"/>
          </w:tcPr>
          <w:p>
            <w:pPr>
              <w:spacing w:after="0"/>
            </w:pPr>
            <w:r>
              <w:rPr>
                <w:sz w:val="14"/>
              </w:rPr>
              <w:t>Systematic review; 172 articles</w:t>
            </w:r>
          </w:p>
        </w:tc>
        <w:tc>
          <w:tcPr>
            <w:tcW w:type="dxa" w:w="2520"/>
          </w:tcPr>
          <w:p>
            <w:pPr>
              <w:spacing w:after="0"/>
            </w:pPr>
            <w:r>
              <w:rPr>
                <w:sz w:val="14"/>
              </w:rPr>
              <w:t>Algorithmic management can enable and restrain autonomy; power/control concerns.</w:t>
            </w:r>
          </w:p>
        </w:tc>
        <w:tc>
          <w:tcPr>
            <w:tcW w:type="dxa" w:w="2520"/>
          </w:tcPr>
          <w:p>
            <w:pPr>
              <w:spacing w:after="0"/>
            </w:pPr>
            <w:r>
              <w:rPr>
                <w:sz w:val="14"/>
              </w:rPr>
              <w:t>Broad contexts.</w:t>
            </w:r>
          </w:p>
        </w:tc>
      </w:tr>
      <w:tr>
        <w:tc>
          <w:tcPr>
            <w:tcW w:type="dxa" w:w="2520"/>
          </w:tcPr>
          <w:p>
            <w:pPr>
              <w:spacing w:after="0"/>
            </w:pPr>
            <w:r>
              <w:rPr>
                <w:sz w:val="14"/>
              </w:rPr>
              <w:t>Chen et al., 2026</w:t>
            </w:r>
          </w:p>
        </w:tc>
        <w:tc>
          <w:tcPr>
            <w:tcW w:type="dxa" w:w="2520"/>
          </w:tcPr>
          <w:p>
            <w:pPr>
              <w:spacing w:after="0"/>
            </w:pPr>
            <w:r>
              <w:rPr>
                <w:sz w:val="14"/>
              </w:rPr>
              <w:t>Systematic review; 167 articles</w:t>
            </w:r>
          </w:p>
        </w:tc>
        <w:tc>
          <w:tcPr>
            <w:tcW w:type="dxa" w:w="2520"/>
          </w:tcPr>
          <w:p>
            <w:pPr>
              <w:spacing w:after="0"/>
            </w:pPr>
            <w:r>
              <w:rPr>
                <w:sz w:val="14"/>
              </w:rPr>
              <w:t>Surveillance, supervision, supplementary and complementary configurations; dual-edged responses.</w:t>
            </w:r>
          </w:p>
        </w:tc>
        <w:tc>
          <w:tcPr>
            <w:tcW w:type="dxa" w:w="2520"/>
          </w:tcPr>
          <w:p>
            <w:pPr>
              <w:spacing w:after="0"/>
            </w:pPr>
            <w:r>
              <w:rPr>
                <w:sz w:val="14"/>
              </w:rPr>
              <w:t>Broad workplace evidence.</w:t>
            </w:r>
          </w:p>
        </w:tc>
      </w:tr>
      <w:tr>
        <w:tc>
          <w:tcPr>
            <w:tcW w:type="dxa" w:w="2520"/>
          </w:tcPr>
          <w:p>
            <w:pPr>
              <w:spacing w:after="0"/>
            </w:pPr>
            <w:r>
              <w:rPr>
                <w:sz w:val="14"/>
              </w:rPr>
              <w:t>LODJ 2025 review</w:t>
            </w:r>
          </w:p>
        </w:tc>
        <w:tc>
          <w:tcPr>
            <w:tcW w:type="dxa" w:w="2520"/>
          </w:tcPr>
          <w:p>
            <w:pPr>
              <w:spacing w:after="0"/>
            </w:pPr>
            <w:r>
              <w:rPr>
                <w:sz w:val="14"/>
              </w:rPr>
              <w:t>Systematic review; 29 studies</w:t>
            </w:r>
          </w:p>
        </w:tc>
        <w:tc>
          <w:tcPr>
            <w:tcW w:type="dxa" w:w="2520"/>
          </w:tcPr>
          <w:p>
            <w:pPr>
              <w:spacing w:after="0"/>
            </w:pPr>
            <w:r>
              <w:rPr>
                <w:sz w:val="14"/>
              </w:rPr>
              <w:t>Fairness, privacy, technostress and well-being concerns.</w:t>
            </w:r>
          </w:p>
        </w:tc>
        <w:tc>
          <w:tcPr>
            <w:tcW w:type="dxa" w:w="2520"/>
          </w:tcPr>
          <w:p>
            <w:pPr>
              <w:spacing w:after="0"/>
            </w:pPr>
            <w:r>
              <w:rPr>
                <w:sz w:val="14"/>
              </w:rPr>
              <w:t>Much platform/digital labor evidence.</w:t>
            </w:r>
          </w:p>
        </w:tc>
      </w:tr>
      <w:tr>
        <w:tc>
          <w:tcPr>
            <w:tcW w:type="dxa" w:w="2520"/>
          </w:tcPr>
          <w:p>
            <w:pPr>
              <w:spacing w:after="0"/>
            </w:pPr>
            <w:r>
              <w:rPr>
                <w:sz w:val="14"/>
              </w:rPr>
              <w:t>Lu, Frontiers 2026</w:t>
            </w:r>
          </w:p>
        </w:tc>
        <w:tc>
          <w:tcPr>
            <w:tcW w:type="dxa" w:w="2520"/>
          </w:tcPr>
          <w:p>
            <w:pPr>
              <w:spacing w:after="0"/>
            </w:pPr>
            <w:r>
              <w:rPr>
                <w:sz w:val="14"/>
              </w:rPr>
              <w:t>Structured review; 41 sources</w:t>
            </w:r>
          </w:p>
        </w:tc>
        <w:tc>
          <w:tcPr>
            <w:tcW w:type="dxa" w:w="2520"/>
          </w:tcPr>
          <w:p>
            <w:pPr>
              <w:spacing w:after="0"/>
            </w:pPr>
            <w:r>
              <w:rPr>
                <w:sz w:val="14"/>
              </w:rPr>
              <w:t>Meaningful autonomy, developmental monitoring, explanation, contestability and human review linked to sustainable-performance propositions.</w:t>
            </w:r>
          </w:p>
        </w:tc>
        <w:tc>
          <w:tcPr>
            <w:tcW w:type="dxa" w:w="2520"/>
          </w:tcPr>
          <w:p>
            <w:pPr>
              <w:spacing w:after="0"/>
            </w:pPr>
            <w:r>
              <w:rPr>
                <w:sz w:val="14"/>
              </w:rPr>
              <w:t>Needs stronger causal testing.</w:t>
            </w:r>
          </w:p>
        </w:tc>
      </w:tr>
      <w:tr>
        <w:tc>
          <w:tcPr>
            <w:tcW w:type="dxa" w:w="2520"/>
          </w:tcPr>
          <w:p>
            <w:pPr>
              <w:spacing w:after="0"/>
            </w:pPr>
            <w:r>
              <w:rPr>
                <w:sz w:val="14"/>
              </w:rPr>
              <w:t>Kadolkar et al., 2025</w:t>
            </w:r>
          </w:p>
        </w:tc>
        <w:tc>
          <w:tcPr>
            <w:tcW w:type="dxa" w:w="2520"/>
          </w:tcPr>
          <w:p>
            <w:pPr>
              <w:spacing w:after="0"/>
            </w:pPr>
            <w:r>
              <w:rPr>
                <w:sz w:val="14"/>
              </w:rPr>
              <w:t>Systematic review/integration</w:t>
            </w:r>
          </w:p>
        </w:tc>
        <w:tc>
          <w:tcPr>
            <w:tcW w:type="dxa" w:w="2520"/>
          </w:tcPr>
          <w:p>
            <w:pPr>
              <w:spacing w:after="0"/>
            </w:pPr>
            <w:r>
              <w:rPr>
                <w:sz w:val="14"/>
              </w:rPr>
              <w:t>Autonomy paradox and well-being concerns under algorithmic management.</w:t>
            </w:r>
          </w:p>
        </w:tc>
        <w:tc>
          <w:tcPr>
            <w:tcW w:type="dxa" w:w="2520"/>
          </w:tcPr>
          <w:p>
            <w:pPr>
              <w:spacing w:after="0"/>
            </w:pPr>
            <w:r>
              <w:rPr>
                <w:sz w:val="14"/>
              </w:rPr>
              <w:t>Gig economy differs from employed contact centers.</w:t>
            </w:r>
          </w:p>
        </w:tc>
      </w:tr>
    </w:tbl>
    <w:p>
      <w:pPr>
        <w:pStyle w:val="Heading1"/>
      </w:pPr>
      <w:r>
        <w:t>10. Critical Disconfirmation Questions</w:t>
      </w:r>
    </w:p>
    <w:p>
      <w:pPr>
        <w:pStyle w:val="ListBullet"/>
        <w:spacing w:after="20"/>
      </w:pPr>
      <w:r>
        <w:t>Do productivity gains persist after novelty and rollout support fade?</w:t>
      </w:r>
    </w:p>
    <w:p>
      <w:pPr>
        <w:pStyle w:val="ListBullet"/>
        <w:spacing w:after="20"/>
      </w:pPr>
      <w:r>
        <w:t>Do AI-assisted workers actually learn, or only perform better while assistance is present?</w:t>
      </w:r>
    </w:p>
    <w:p>
      <w:pPr>
        <w:pStyle w:val="ListBullet"/>
        <w:spacing w:after="20"/>
      </w:pPr>
      <w:r>
        <w:t>Do high performers gain less because AI is less useful or because standardization constrains expert judgment?</w:t>
      </w:r>
    </w:p>
    <w:p>
      <w:pPr>
        <w:pStyle w:val="ListBullet"/>
        <w:spacing w:after="20"/>
      </w:pPr>
      <w:r>
        <w:t>Does AI release capacity for higher-value work or simply raise throughput expectations?</w:t>
      </w:r>
    </w:p>
    <w:p>
      <w:pPr>
        <w:pStyle w:val="ListBullet"/>
        <w:spacing w:after="20"/>
      </w:pPr>
      <w:r>
        <w:t>Are error, rework, escalation, customer trust and fairness improving alongside speed?</w:t>
      </w:r>
    </w:p>
    <w:p>
      <w:pPr>
        <w:pStyle w:val="ListBullet"/>
        <w:spacing w:after="20"/>
      </w:pPr>
      <w:r>
        <w:t>Can workers challenge AI without penalty or workflow friction?</w:t>
      </w:r>
    </w:p>
    <w:p>
      <w:pPr>
        <w:pStyle w:val="ListBullet"/>
        <w:spacing w:after="20"/>
      </w:pPr>
      <w:r>
        <w:t>Does AI monitoring improve coaching or primarily increase surveillance and stress?</w:t>
      </w:r>
    </w:p>
    <w:p>
      <w:pPr>
        <w:pStyle w:val="ListBullet"/>
        <w:spacing w:after="20"/>
      </w:pPr>
      <w:r>
        <w:t>Does AI literacy predict safer behavior beyond domain expertise and good system design?</w:t>
      </w:r>
    </w:p>
    <w:p>
      <w:pPr>
        <w:pStyle w:val="ListBullet"/>
        <w:spacing w:after="20"/>
      </w:pPr>
      <w:r>
        <w:t>Which skills atrophy with repeated delegation?</w:t>
      </w:r>
    </w:p>
    <w:p>
      <w:pPr>
        <w:pStyle w:val="ListBullet"/>
        <w:spacing w:after="20"/>
      </w:pPr>
      <w:r>
        <w:t>Are apparent retention gains caused by AI or other rollout conditions?</w:t>
      </w:r>
    </w:p>
    <w:p>
      <w:pPr>
        <w:pStyle w:val="Heading1"/>
      </w:pPr>
      <w:r>
        <w:t>11. Falsification Register</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ID</w:t>
            </w:r>
          </w:p>
        </w:tc>
        <w:tc>
          <w:tcPr>
            <w:tcW w:type="dxa" w:w="5040"/>
            <w:shd w:fill="0B3A53"/>
          </w:tcPr>
          <w:p>
            <w:r>
              <w:rPr>
                <w:b/>
                <w:color w:val="FFFFFF"/>
                <w:sz w:val="15"/>
              </w:rPr>
              <w:t>Condition that weakens/narrows the thesis</w:t>
            </w:r>
          </w:p>
        </w:tc>
      </w:tr>
      <w:tr>
        <w:tc>
          <w:tcPr>
            <w:tcW w:type="dxa" w:w="5040"/>
          </w:tcPr>
          <w:p>
            <w:pPr>
              <w:spacing w:after="0"/>
            </w:pPr>
            <w:r>
              <w:rPr>
                <w:sz w:val="15"/>
              </w:rPr>
              <w:t>F1</w:t>
            </w:r>
          </w:p>
        </w:tc>
        <w:tc>
          <w:tcPr>
            <w:tcW w:type="dxa" w:w="5040"/>
          </w:tcPr>
          <w:p>
            <w:pPr>
              <w:spacing w:after="0"/>
            </w:pPr>
            <w:r>
              <w:rPr>
                <w:sz w:val="15"/>
              </w:rPr>
              <w:t>AI assistance does not improve meaningful outcomes beyond existing tools/workflows.</w:t>
            </w:r>
          </w:p>
        </w:tc>
      </w:tr>
      <w:tr>
        <w:tc>
          <w:tcPr>
            <w:tcW w:type="dxa" w:w="5040"/>
          </w:tcPr>
          <w:p>
            <w:pPr>
              <w:spacing w:after="0"/>
            </w:pPr>
            <w:r>
              <w:rPr>
                <w:sz w:val="15"/>
              </w:rPr>
              <w:t>F2</w:t>
            </w:r>
          </w:p>
        </w:tc>
        <w:tc>
          <w:tcPr>
            <w:tcW w:type="dxa" w:w="5040"/>
          </w:tcPr>
          <w:p>
            <w:pPr>
              <w:spacing w:after="0"/>
            </w:pPr>
            <w:r>
              <w:rPr>
                <w:sz w:val="15"/>
              </w:rPr>
              <w:t>Productivity improves but quality, resolution, trust, fairness or safety worsens materially.</w:t>
            </w:r>
          </w:p>
        </w:tc>
      </w:tr>
      <w:tr>
        <w:tc>
          <w:tcPr>
            <w:tcW w:type="dxa" w:w="5040"/>
          </w:tcPr>
          <w:p>
            <w:pPr>
              <w:spacing w:after="0"/>
            </w:pPr>
            <w:r>
              <w:rPr>
                <w:sz w:val="15"/>
              </w:rPr>
              <w:t>F3</w:t>
            </w:r>
          </w:p>
        </w:tc>
        <w:tc>
          <w:tcPr>
            <w:tcW w:type="dxa" w:w="5040"/>
          </w:tcPr>
          <w:p>
            <w:pPr>
              <w:spacing w:after="0"/>
            </w:pPr>
            <w:r>
              <w:rPr>
                <w:sz w:val="15"/>
              </w:rPr>
              <w:t>Benefits disappear after controlling for selection, implementation support, novelty or task mix.</w:t>
            </w:r>
          </w:p>
        </w:tc>
      </w:tr>
      <w:tr>
        <w:tc>
          <w:tcPr>
            <w:tcW w:type="dxa" w:w="5040"/>
          </w:tcPr>
          <w:p>
            <w:pPr>
              <w:spacing w:after="0"/>
            </w:pPr>
            <w:r>
              <w:rPr>
                <w:sz w:val="15"/>
              </w:rPr>
              <w:t>F4</w:t>
            </w:r>
          </w:p>
        </w:tc>
        <w:tc>
          <w:tcPr>
            <w:tcW w:type="dxa" w:w="5040"/>
          </w:tcPr>
          <w:p>
            <w:pPr>
              <w:spacing w:after="0"/>
            </w:pPr>
            <w:r>
              <w:rPr>
                <w:sz w:val="15"/>
              </w:rPr>
              <w:t>Novice gains do not translate into durable independent competence.</w:t>
            </w:r>
          </w:p>
        </w:tc>
      </w:tr>
      <w:tr>
        <w:tc>
          <w:tcPr>
            <w:tcW w:type="dxa" w:w="5040"/>
          </w:tcPr>
          <w:p>
            <w:pPr>
              <w:spacing w:after="0"/>
            </w:pPr>
            <w:r>
              <w:rPr>
                <w:sz w:val="15"/>
              </w:rPr>
              <w:t>F5</w:t>
            </w:r>
          </w:p>
        </w:tc>
        <w:tc>
          <w:tcPr>
            <w:tcW w:type="dxa" w:w="5040"/>
          </w:tcPr>
          <w:p>
            <w:pPr>
              <w:spacing w:after="0"/>
            </w:pPr>
            <w:r>
              <w:rPr>
                <w:sz w:val="15"/>
              </w:rPr>
              <w:t>AI literacy adds little beyond domain knowledge, supervisor support, usability and system quality.</w:t>
            </w:r>
          </w:p>
        </w:tc>
      </w:tr>
      <w:tr>
        <w:tc>
          <w:tcPr>
            <w:tcW w:type="dxa" w:w="5040"/>
          </w:tcPr>
          <w:p>
            <w:pPr>
              <w:spacing w:after="0"/>
            </w:pPr>
            <w:r>
              <w:rPr>
                <w:sz w:val="15"/>
              </w:rPr>
              <w:t>F6</w:t>
            </w:r>
          </w:p>
        </w:tc>
        <w:tc>
          <w:tcPr>
            <w:tcW w:type="dxa" w:w="5040"/>
          </w:tcPr>
          <w:p>
            <w:pPr>
              <w:spacing w:after="0"/>
            </w:pPr>
            <w:r>
              <w:rPr>
                <w:sz w:val="15"/>
              </w:rPr>
              <w:t>Released capacity is consistently converted into work intensification.</w:t>
            </w:r>
          </w:p>
        </w:tc>
      </w:tr>
      <w:tr>
        <w:tc>
          <w:tcPr>
            <w:tcW w:type="dxa" w:w="5040"/>
          </w:tcPr>
          <w:p>
            <w:pPr>
              <w:spacing w:after="0"/>
            </w:pPr>
            <w:r>
              <w:rPr>
                <w:sz w:val="15"/>
              </w:rPr>
              <w:t>F7</w:t>
            </w:r>
          </w:p>
        </w:tc>
        <w:tc>
          <w:tcPr>
            <w:tcW w:type="dxa" w:w="5040"/>
          </w:tcPr>
          <w:p>
            <w:pPr>
              <w:spacing w:after="0"/>
            </w:pPr>
            <w:r>
              <w:rPr>
                <w:sz w:val="15"/>
              </w:rPr>
              <w:t>Human oversight does not prevent/detect/correct meaningful failures.</w:t>
            </w:r>
          </w:p>
        </w:tc>
      </w:tr>
      <w:tr>
        <w:tc>
          <w:tcPr>
            <w:tcW w:type="dxa" w:w="5040"/>
          </w:tcPr>
          <w:p>
            <w:pPr>
              <w:spacing w:after="0"/>
            </w:pPr>
            <w:r>
              <w:rPr>
                <w:sz w:val="15"/>
              </w:rPr>
              <w:t>F8</w:t>
            </w:r>
          </w:p>
        </w:tc>
        <w:tc>
          <w:tcPr>
            <w:tcW w:type="dxa" w:w="5040"/>
          </w:tcPr>
          <w:p>
            <w:pPr>
              <w:spacing w:after="0"/>
            </w:pPr>
            <w:r>
              <w:rPr>
                <w:sz w:val="15"/>
              </w:rPr>
              <w:t>Algorithmic monitoring harms outweigh operational gains.</w:t>
            </w:r>
          </w:p>
        </w:tc>
      </w:tr>
      <w:tr>
        <w:tc>
          <w:tcPr>
            <w:tcW w:type="dxa" w:w="5040"/>
          </w:tcPr>
          <w:p>
            <w:pPr>
              <w:spacing w:after="0"/>
            </w:pPr>
            <w:r>
              <w:rPr>
                <w:sz w:val="15"/>
              </w:rPr>
              <w:t>F9</w:t>
            </w:r>
          </w:p>
        </w:tc>
        <w:tc>
          <w:tcPr>
            <w:tcW w:type="dxa" w:w="5040"/>
          </w:tcPr>
          <w:p>
            <w:pPr>
              <w:spacing w:after="0"/>
            </w:pPr>
            <w:r>
              <w:rPr>
                <w:sz w:val="15"/>
              </w:rPr>
              <w:t>Workers become less capable without AI after prolonged use.</w:t>
            </w:r>
          </w:p>
        </w:tc>
      </w:tr>
      <w:tr>
        <w:tc>
          <w:tcPr>
            <w:tcW w:type="dxa" w:w="5040"/>
          </w:tcPr>
          <w:p>
            <w:pPr>
              <w:spacing w:after="0"/>
            </w:pPr>
            <w:r>
              <w:rPr>
                <w:sz w:val="15"/>
              </w:rPr>
              <w:t>F10</w:t>
            </w:r>
          </w:p>
        </w:tc>
        <w:tc>
          <w:tcPr>
            <w:tcW w:type="dxa" w:w="5040"/>
          </w:tcPr>
          <w:p>
            <w:pPr>
              <w:spacing w:after="0"/>
            </w:pPr>
            <w:r>
              <w:rPr>
                <w:sz w:val="15"/>
              </w:rPr>
              <w:t>AI makes appropriate human escalation harder.</w:t>
            </w:r>
          </w:p>
        </w:tc>
      </w:tr>
      <w:tr>
        <w:tc>
          <w:tcPr>
            <w:tcW w:type="dxa" w:w="5040"/>
          </w:tcPr>
          <w:p>
            <w:pPr>
              <w:spacing w:after="0"/>
            </w:pPr>
            <w:r>
              <w:rPr>
                <w:sz w:val="15"/>
              </w:rPr>
              <w:t>F11</w:t>
            </w:r>
          </w:p>
        </w:tc>
        <w:tc>
          <w:tcPr>
            <w:tcW w:type="dxa" w:w="5040"/>
          </w:tcPr>
          <w:p>
            <w:pPr>
              <w:spacing w:after="0"/>
            </w:pPr>
            <w:r>
              <w:rPr>
                <w:sz w:val="15"/>
              </w:rPr>
              <w:t>Effects fail to replicate across employers/tools/channels/groups.</w:t>
            </w:r>
          </w:p>
        </w:tc>
      </w:tr>
      <w:tr>
        <w:tc>
          <w:tcPr>
            <w:tcW w:type="dxa" w:w="5040"/>
          </w:tcPr>
          <w:p>
            <w:pPr>
              <w:spacing w:after="0"/>
            </w:pPr>
            <w:r>
              <w:rPr>
                <w:sz w:val="15"/>
              </w:rPr>
              <w:t>F12</w:t>
            </w:r>
          </w:p>
        </w:tc>
        <w:tc>
          <w:tcPr>
            <w:tcW w:type="dxa" w:w="5040"/>
          </w:tcPr>
          <w:p>
            <w:pPr>
              <w:spacing w:after="0"/>
            </w:pPr>
            <w:r>
              <w:rPr>
                <w:sz w:val="15"/>
              </w:rPr>
              <w:t>A simpler non-AI process, staffing, knowledge-management or training intervention performs as well or better.</w:t>
            </w:r>
          </w:p>
        </w:tc>
      </w:tr>
      <w:tr>
        <w:tc>
          <w:tcPr>
            <w:tcW w:type="dxa" w:w="5040"/>
          </w:tcPr>
          <w:p>
            <w:pPr>
              <w:spacing w:after="0"/>
            </w:pPr>
            <w:r>
              <w:rPr>
                <w:sz w:val="15"/>
              </w:rPr>
              <w:t>F13</w:t>
            </w:r>
          </w:p>
        </w:tc>
        <w:tc>
          <w:tcPr>
            <w:tcW w:type="dxa" w:w="5040"/>
          </w:tcPr>
          <w:p>
            <w:pPr>
              <w:spacing w:after="0"/>
            </w:pPr>
            <w:r>
              <w:rPr>
                <w:sz w:val="15"/>
              </w:rPr>
              <w:t>AI disproportionately harms worker/customer groups without adequate mitigation.</w:t>
            </w:r>
          </w:p>
        </w:tc>
      </w:tr>
      <w:tr>
        <w:tc>
          <w:tcPr>
            <w:tcW w:type="dxa" w:w="5040"/>
          </w:tcPr>
          <w:p>
            <w:pPr>
              <w:spacing w:after="0"/>
            </w:pPr>
            <w:r>
              <w:rPr>
                <w:sz w:val="15"/>
              </w:rPr>
              <w:t>F14</w:t>
            </w:r>
          </w:p>
        </w:tc>
        <w:tc>
          <w:tcPr>
            <w:tcW w:type="dxa" w:w="5040"/>
          </w:tcPr>
          <w:p>
            <w:pPr>
              <w:spacing w:after="0"/>
            </w:pPr>
            <w:r>
              <w:rPr>
                <w:sz w:val="15"/>
              </w:rPr>
              <w:t>ResolveCX AI-readiness preparation does not improve behavior/outcomes versus standard training.</w:t>
            </w:r>
          </w:p>
        </w:tc>
      </w:tr>
    </w:tbl>
    <w:p>
      <w:pPr>
        <w:pStyle w:val="Heading1"/>
      </w:pPr>
      <w:r>
        <w:t>12. Outcome Architecture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6"/>
              </w:rPr>
              <w:t>Family</w:t>
            </w:r>
          </w:p>
        </w:tc>
        <w:tc>
          <w:tcPr>
            <w:tcW w:type="dxa" w:w="3360"/>
            <w:shd w:fill="0B3A53"/>
          </w:tcPr>
          <w:p>
            <w:r>
              <w:rPr>
                <w:b/>
                <w:color w:val="FFFFFF"/>
                <w:sz w:val="16"/>
              </w:rPr>
              <w:t>Examples</w:t>
            </w:r>
          </w:p>
        </w:tc>
        <w:tc>
          <w:tcPr>
            <w:tcW w:type="dxa" w:w="3360"/>
            <w:shd w:fill="0B3A53"/>
          </w:tcPr>
          <w:p>
            <w:r>
              <w:rPr>
                <w:b/>
                <w:color w:val="FFFFFF"/>
                <w:sz w:val="16"/>
              </w:rPr>
              <w:t>Guardrail</w:t>
            </w:r>
          </w:p>
        </w:tc>
      </w:tr>
      <w:tr>
        <w:tc>
          <w:tcPr>
            <w:tcW w:type="dxa" w:w="3360"/>
          </w:tcPr>
          <w:p>
            <w:pPr>
              <w:spacing w:after="0"/>
            </w:pPr>
            <w:r>
              <w:rPr>
                <w:sz w:val="16"/>
              </w:rPr>
              <w:t>Productivity</w:t>
            </w:r>
          </w:p>
        </w:tc>
        <w:tc>
          <w:tcPr>
            <w:tcW w:type="dxa" w:w="3360"/>
          </w:tcPr>
          <w:p>
            <w:pPr>
              <w:spacing w:after="0"/>
            </w:pPr>
            <w:r>
              <w:rPr>
                <w:sz w:val="16"/>
              </w:rPr>
              <w:t>Resolved issues/hour, ACW, search time</w:t>
            </w:r>
          </w:p>
        </w:tc>
        <w:tc>
          <w:tcPr>
            <w:tcW w:type="dxa" w:w="3360"/>
          </w:tcPr>
          <w:p>
            <w:pPr>
              <w:spacing w:after="0"/>
            </w:pPr>
            <w:r>
              <w:rPr>
                <w:sz w:val="16"/>
              </w:rPr>
              <w:t>Never interpret alone</w:t>
            </w:r>
          </w:p>
        </w:tc>
      </w:tr>
      <w:tr>
        <w:tc>
          <w:tcPr>
            <w:tcW w:type="dxa" w:w="3360"/>
          </w:tcPr>
          <w:p>
            <w:pPr>
              <w:spacing w:after="0"/>
            </w:pPr>
            <w:r>
              <w:rPr>
                <w:sz w:val="16"/>
              </w:rPr>
              <w:t>Quality/resolution</w:t>
            </w:r>
          </w:p>
        </w:tc>
        <w:tc>
          <w:tcPr>
            <w:tcW w:type="dxa" w:w="3360"/>
          </w:tcPr>
          <w:p>
            <w:pPr>
              <w:spacing w:after="0"/>
            </w:pPr>
            <w:r>
              <w:rPr>
                <w:sz w:val="16"/>
              </w:rPr>
              <w:t>QA, FCR, rework, escalation</w:t>
            </w:r>
          </w:p>
        </w:tc>
        <w:tc>
          <w:tcPr>
            <w:tcW w:type="dxa" w:w="3360"/>
          </w:tcPr>
          <w:p>
            <w:pPr>
              <w:spacing w:after="0"/>
            </w:pPr>
            <w:r>
              <w:rPr>
                <w:sz w:val="16"/>
              </w:rPr>
              <w:t>Protect speed-quality tradeoff</w:t>
            </w:r>
          </w:p>
        </w:tc>
      </w:tr>
      <w:tr>
        <w:tc>
          <w:tcPr>
            <w:tcW w:type="dxa" w:w="3360"/>
          </w:tcPr>
          <w:p>
            <w:pPr>
              <w:spacing w:after="0"/>
            </w:pPr>
            <w:r>
              <w:rPr>
                <w:sz w:val="16"/>
              </w:rPr>
              <w:t>Customer</w:t>
            </w:r>
          </w:p>
        </w:tc>
        <w:tc>
          <w:tcPr>
            <w:tcW w:type="dxa" w:w="3360"/>
          </w:tcPr>
          <w:p>
            <w:pPr>
              <w:spacing w:after="0"/>
            </w:pPr>
            <w:r>
              <w:rPr>
                <w:sz w:val="16"/>
              </w:rPr>
              <w:t>Sentiment, satisfaction, trust, accessibility</w:t>
            </w:r>
          </w:p>
        </w:tc>
        <w:tc>
          <w:tcPr>
            <w:tcW w:type="dxa" w:w="3360"/>
          </w:tcPr>
          <w:p>
            <w:pPr>
              <w:spacing w:after="0"/>
            </w:pPr>
            <w:r>
              <w:rPr>
                <w:sz w:val="16"/>
              </w:rPr>
              <w:t>Include complex/vulnerable cases</w:t>
            </w:r>
          </w:p>
        </w:tc>
      </w:tr>
      <w:tr>
        <w:tc>
          <w:tcPr>
            <w:tcW w:type="dxa" w:w="3360"/>
          </w:tcPr>
          <w:p>
            <w:pPr>
              <w:spacing w:after="0"/>
            </w:pPr>
            <w:r>
              <w:rPr>
                <w:sz w:val="16"/>
              </w:rPr>
              <w:t>Learning</w:t>
            </w:r>
          </w:p>
        </w:tc>
        <w:tc>
          <w:tcPr>
            <w:tcW w:type="dxa" w:w="3360"/>
          </w:tcPr>
          <w:p>
            <w:pPr>
              <w:spacing w:after="0"/>
            </w:pPr>
            <w:r>
              <w:rPr>
                <w:sz w:val="16"/>
              </w:rPr>
              <w:t>Time-to-proficiency, independent performance, retention</w:t>
            </w:r>
          </w:p>
        </w:tc>
        <w:tc>
          <w:tcPr>
            <w:tcW w:type="dxa" w:w="3360"/>
          </w:tcPr>
          <w:p>
            <w:pPr>
              <w:spacing w:after="0"/>
            </w:pPr>
            <w:r>
              <w:rPr>
                <w:sz w:val="16"/>
              </w:rPr>
              <w:t>Test AI-off capability where appropriate</w:t>
            </w:r>
          </w:p>
        </w:tc>
      </w:tr>
      <w:tr>
        <w:tc>
          <w:tcPr>
            <w:tcW w:type="dxa" w:w="3360"/>
          </w:tcPr>
          <w:p>
            <w:pPr>
              <w:spacing w:after="0"/>
            </w:pPr>
            <w:r>
              <w:rPr>
                <w:sz w:val="16"/>
              </w:rPr>
              <w:t>Judgment</w:t>
            </w:r>
          </w:p>
        </w:tc>
        <w:tc>
          <w:tcPr>
            <w:tcW w:type="dxa" w:w="3360"/>
          </w:tcPr>
          <w:p>
            <w:pPr>
              <w:spacing w:after="0"/>
            </w:pPr>
            <w:r>
              <w:rPr>
                <w:sz w:val="16"/>
              </w:rPr>
              <w:t>Verification, override, escalation</w:t>
            </w:r>
          </w:p>
        </w:tc>
        <w:tc>
          <w:tcPr>
            <w:tcW w:type="dxa" w:w="3360"/>
          </w:tcPr>
          <w:p>
            <w:pPr>
              <w:spacing w:after="0"/>
            </w:pPr>
            <w:r>
              <w:rPr>
                <w:sz w:val="16"/>
              </w:rPr>
              <w:t>Behavior/scenarios, not confidence alone</w:t>
            </w:r>
          </w:p>
        </w:tc>
      </w:tr>
      <w:tr>
        <w:tc>
          <w:tcPr>
            <w:tcW w:type="dxa" w:w="3360"/>
          </w:tcPr>
          <w:p>
            <w:pPr>
              <w:spacing w:after="0"/>
            </w:pPr>
            <w:r>
              <w:rPr>
                <w:sz w:val="16"/>
              </w:rPr>
              <w:t>Employee</w:t>
            </w:r>
          </w:p>
        </w:tc>
        <w:tc>
          <w:tcPr>
            <w:tcW w:type="dxa" w:w="3360"/>
          </w:tcPr>
          <w:p>
            <w:pPr>
              <w:spacing w:after="0"/>
            </w:pPr>
            <w:r>
              <w:rPr>
                <w:sz w:val="16"/>
              </w:rPr>
              <w:t>Workload, autonomy, trust, burnout, technostress</w:t>
            </w:r>
          </w:p>
        </w:tc>
        <w:tc>
          <w:tcPr>
            <w:tcW w:type="dxa" w:w="3360"/>
          </w:tcPr>
          <w:p>
            <w:pPr>
              <w:spacing w:after="0"/>
            </w:pPr>
            <w:r>
              <w:rPr>
                <w:sz w:val="16"/>
              </w:rPr>
              <w:t>Separate assistance from surveillance</w:t>
            </w:r>
          </w:p>
        </w:tc>
      </w:tr>
      <w:tr>
        <w:tc>
          <w:tcPr>
            <w:tcW w:type="dxa" w:w="3360"/>
          </w:tcPr>
          <w:p>
            <w:pPr>
              <w:spacing w:after="0"/>
            </w:pPr>
            <w:r>
              <w:rPr>
                <w:sz w:val="16"/>
              </w:rPr>
              <w:t>Fairness</w:t>
            </w:r>
          </w:p>
        </w:tc>
        <w:tc>
          <w:tcPr>
            <w:tcW w:type="dxa" w:w="3360"/>
          </w:tcPr>
          <w:p>
            <w:pPr>
              <w:spacing w:after="0"/>
            </w:pPr>
            <w:r>
              <w:rPr>
                <w:sz w:val="16"/>
              </w:rPr>
              <w:t>Differential errors/access/scoring</w:t>
            </w:r>
          </w:p>
        </w:tc>
        <w:tc>
          <w:tcPr>
            <w:tcW w:type="dxa" w:w="3360"/>
          </w:tcPr>
          <w:p>
            <w:pPr>
              <w:spacing w:after="0"/>
            </w:pPr>
            <w:r>
              <w:rPr>
                <w:sz w:val="16"/>
              </w:rPr>
              <w:t>Analyze affected groups appropriately</w:t>
            </w:r>
          </w:p>
        </w:tc>
      </w:tr>
      <w:tr>
        <w:tc>
          <w:tcPr>
            <w:tcW w:type="dxa" w:w="3360"/>
          </w:tcPr>
          <w:p>
            <w:pPr>
              <w:spacing w:after="0"/>
            </w:pPr>
            <w:r>
              <w:rPr>
                <w:sz w:val="16"/>
              </w:rPr>
              <w:t>Governance</w:t>
            </w:r>
          </w:p>
        </w:tc>
        <w:tc>
          <w:tcPr>
            <w:tcW w:type="dxa" w:w="3360"/>
          </w:tcPr>
          <w:p>
            <w:pPr>
              <w:spacing w:after="0"/>
            </w:pPr>
            <w:r>
              <w:rPr>
                <w:sz w:val="16"/>
              </w:rPr>
              <w:t>Incidents, overrides, auditability</w:t>
            </w:r>
          </w:p>
        </w:tc>
        <w:tc>
          <w:tcPr>
            <w:tcW w:type="dxa" w:w="3360"/>
          </w:tcPr>
          <w:p>
            <w:pPr>
              <w:spacing w:after="0"/>
            </w:pPr>
            <w:r>
              <w:rPr>
                <w:sz w:val="16"/>
              </w:rPr>
              <w:t>Policy existence ≠ control effectiveness</w:t>
            </w:r>
          </w:p>
        </w:tc>
      </w:tr>
      <w:tr>
        <w:tc>
          <w:tcPr>
            <w:tcW w:type="dxa" w:w="3360"/>
          </w:tcPr>
          <w:p>
            <w:pPr>
              <w:spacing w:after="0"/>
            </w:pPr>
            <w:r>
              <w:rPr>
                <w:sz w:val="16"/>
              </w:rPr>
              <w:t>Economic</w:t>
            </w:r>
          </w:p>
        </w:tc>
        <w:tc>
          <w:tcPr>
            <w:tcW w:type="dxa" w:w="3360"/>
          </w:tcPr>
          <w:p>
            <w:pPr>
              <w:spacing w:after="0"/>
            </w:pPr>
            <w:r>
              <w:rPr>
                <w:sz w:val="16"/>
              </w:rPr>
              <w:t>Cost/contact, capacity released, training and governance cost</w:t>
            </w:r>
          </w:p>
        </w:tc>
        <w:tc>
          <w:tcPr>
            <w:tcW w:type="dxa" w:w="3360"/>
          </w:tcPr>
          <w:p>
            <w:pPr>
              <w:spacing w:after="0"/>
            </w:pPr>
            <w:r>
              <w:rPr>
                <w:sz w:val="16"/>
              </w:rPr>
              <w:t>Include implementation cost</w:t>
            </w:r>
          </w:p>
        </w:tc>
      </w:tr>
    </w:tbl>
    <w:p>
      <w:pPr>
        <w:pStyle w:val="Heading1"/>
      </w:pPr>
      <w:r>
        <w:t>13. Role-Specific AI Literacy</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6"/>
              </w:rPr>
              <w:t>Domain</w:t>
            </w:r>
          </w:p>
        </w:tc>
        <w:tc>
          <w:tcPr>
            <w:tcW w:type="dxa" w:w="5040"/>
            <w:shd w:fill="0B3A53"/>
          </w:tcPr>
          <w:p>
            <w:r>
              <w:rPr>
                <w:b/>
                <w:color w:val="FFFFFF"/>
                <w:sz w:val="16"/>
              </w:rPr>
              <w:t>Behavior to test</w:t>
            </w:r>
          </w:p>
        </w:tc>
      </w:tr>
      <w:tr>
        <w:tc>
          <w:tcPr>
            <w:tcW w:type="dxa" w:w="5040"/>
          </w:tcPr>
          <w:p>
            <w:pPr>
              <w:spacing w:after="0"/>
            </w:pPr>
            <w:r>
              <w:rPr>
                <w:sz w:val="16"/>
              </w:rPr>
              <w:t>Intended use</w:t>
            </w:r>
          </w:p>
        </w:tc>
        <w:tc>
          <w:tcPr>
            <w:tcW w:type="dxa" w:w="5040"/>
          </w:tcPr>
          <w:p>
            <w:pPr>
              <w:spacing w:after="0"/>
            </w:pPr>
            <w:r>
              <w:rPr>
                <w:sz w:val="16"/>
              </w:rPr>
              <w:t>Recognizes authorized and inappropriate uses</w:t>
            </w:r>
          </w:p>
        </w:tc>
      </w:tr>
      <w:tr>
        <w:tc>
          <w:tcPr>
            <w:tcW w:type="dxa" w:w="5040"/>
          </w:tcPr>
          <w:p>
            <w:pPr>
              <w:spacing w:after="0"/>
            </w:pPr>
            <w:r>
              <w:rPr>
                <w:sz w:val="16"/>
              </w:rPr>
              <w:t>Verification</w:t>
            </w:r>
          </w:p>
        </w:tc>
        <w:tc>
          <w:tcPr>
            <w:tcW w:type="dxa" w:w="5040"/>
          </w:tcPr>
          <w:p>
            <w:pPr>
              <w:spacing w:after="0"/>
            </w:pPr>
            <w:r>
              <w:rPr>
                <w:sz w:val="16"/>
              </w:rPr>
              <w:t>Checks high-impact/uncertain outputs</w:t>
            </w:r>
          </w:p>
        </w:tc>
      </w:tr>
      <w:tr>
        <w:tc>
          <w:tcPr>
            <w:tcW w:type="dxa" w:w="5040"/>
          </w:tcPr>
          <w:p>
            <w:pPr>
              <w:spacing w:after="0"/>
            </w:pPr>
            <w:r>
              <w:rPr>
                <w:sz w:val="16"/>
              </w:rPr>
              <w:t>Uncertainty</w:t>
            </w:r>
          </w:p>
        </w:tc>
        <w:tc>
          <w:tcPr>
            <w:tcW w:type="dxa" w:w="5040"/>
          </w:tcPr>
          <w:p>
            <w:pPr>
              <w:spacing w:after="0"/>
            </w:pPr>
            <w:r>
              <w:rPr>
                <w:sz w:val="16"/>
              </w:rPr>
              <w:t>Recognizes incomplete, ambiguous, stale or out-of-scope answers</w:t>
            </w:r>
          </w:p>
        </w:tc>
      </w:tr>
      <w:tr>
        <w:tc>
          <w:tcPr>
            <w:tcW w:type="dxa" w:w="5040"/>
          </w:tcPr>
          <w:p>
            <w:pPr>
              <w:spacing w:after="0"/>
            </w:pPr>
            <w:r>
              <w:rPr>
                <w:sz w:val="16"/>
              </w:rPr>
              <w:t>Escalation</w:t>
            </w:r>
          </w:p>
        </w:tc>
        <w:tc>
          <w:tcPr>
            <w:tcW w:type="dxa" w:w="5040"/>
          </w:tcPr>
          <w:p>
            <w:pPr>
              <w:spacing w:after="0"/>
            </w:pPr>
            <w:r>
              <w:rPr>
                <w:sz w:val="16"/>
              </w:rPr>
              <w:t>Uses human expertise/alternate process appropriately</w:t>
            </w:r>
          </w:p>
        </w:tc>
      </w:tr>
      <w:tr>
        <w:tc>
          <w:tcPr>
            <w:tcW w:type="dxa" w:w="5040"/>
          </w:tcPr>
          <w:p>
            <w:pPr>
              <w:spacing w:after="0"/>
            </w:pPr>
            <w:r>
              <w:rPr>
                <w:sz w:val="16"/>
              </w:rPr>
              <w:t>Privacy/security</w:t>
            </w:r>
          </w:p>
        </w:tc>
        <w:tc>
          <w:tcPr>
            <w:tcW w:type="dxa" w:w="5040"/>
          </w:tcPr>
          <w:p>
            <w:pPr>
              <w:spacing w:after="0"/>
            </w:pPr>
            <w:r>
              <w:rPr>
                <w:sz w:val="16"/>
              </w:rPr>
              <w:t>Avoids unsafe data handling</w:t>
            </w:r>
          </w:p>
        </w:tc>
      </w:tr>
      <w:tr>
        <w:tc>
          <w:tcPr>
            <w:tcW w:type="dxa" w:w="5040"/>
          </w:tcPr>
          <w:p>
            <w:pPr>
              <w:spacing w:after="0"/>
            </w:pPr>
            <w:r>
              <w:rPr>
                <w:sz w:val="16"/>
              </w:rPr>
              <w:t>Bias/fairness</w:t>
            </w:r>
          </w:p>
        </w:tc>
        <w:tc>
          <w:tcPr>
            <w:tcW w:type="dxa" w:w="5040"/>
          </w:tcPr>
          <w:p>
            <w:pPr>
              <w:spacing w:after="0"/>
            </w:pPr>
            <w:r>
              <w:rPr>
                <w:sz w:val="16"/>
              </w:rPr>
              <w:t>Recognizes situations requiring added scrutiny</w:t>
            </w:r>
          </w:p>
        </w:tc>
      </w:tr>
      <w:tr>
        <w:tc>
          <w:tcPr>
            <w:tcW w:type="dxa" w:w="5040"/>
          </w:tcPr>
          <w:p>
            <w:pPr>
              <w:spacing w:after="0"/>
            </w:pPr>
            <w:r>
              <w:rPr>
                <w:sz w:val="16"/>
              </w:rPr>
              <w:t>Override</w:t>
            </w:r>
          </w:p>
        </w:tc>
        <w:tc>
          <w:tcPr>
            <w:tcW w:type="dxa" w:w="5040"/>
          </w:tcPr>
          <w:p>
            <w:pPr>
              <w:spacing w:after="0"/>
            </w:pPr>
            <w:r>
              <w:rPr>
                <w:sz w:val="16"/>
              </w:rPr>
              <w:t>Rejects plausible but wrong recommendations</w:t>
            </w:r>
          </w:p>
        </w:tc>
      </w:tr>
      <w:tr>
        <w:tc>
          <w:tcPr>
            <w:tcW w:type="dxa" w:w="5040"/>
          </w:tcPr>
          <w:p>
            <w:pPr>
              <w:spacing w:after="0"/>
            </w:pPr>
            <w:r>
              <w:rPr>
                <w:sz w:val="16"/>
              </w:rPr>
              <w:t>Customer transparency</w:t>
            </w:r>
          </w:p>
        </w:tc>
        <w:tc>
          <w:tcPr>
            <w:tcW w:type="dxa" w:w="5040"/>
          </w:tcPr>
          <w:p>
            <w:pPr>
              <w:spacing w:after="0"/>
            </w:pPr>
            <w:r>
              <w:rPr>
                <w:sz w:val="16"/>
              </w:rPr>
              <w:t>Uses required explanation/disclosure appropriately</w:t>
            </w:r>
          </w:p>
        </w:tc>
      </w:tr>
      <w:tr>
        <w:tc>
          <w:tcPr>
            <w:tcW w:type="dxa" w:w="5040"/>
          </w:tcPr>
          <w:p>
            <w:pPr>
              <w:spacing w:after="0"/>
            </w:pPr>
            <w:r>
              <w:rPr>
                <w:sz w:val="16"/>
              </w:rPr>
              <w:t>Independent competence</w:t>
            </w:r>
          </w:p>
        </w:tc>
        <w:tc>
          <w:tcPr>
            <w:tcW w:type="dxa" w:w="5040"/>
          </w:tcPr>
          <w:p>
            <w:pPr>
              <w:spacing w:after="0"/>
            </w:pPr>
            <w:r>
              <w:rPr>
                <w:sz w:val="16"/>
              </w:rPr>
              <w:t>Can perform essential work when AI is unavailable/inappropriate</w:t>
            </w:r>
          </w:p>
        </w:tc>
      </w:tr>
    </w:tbl>
    <w:p>
      <w:pPr>
        <w:pStyle w:val="Heading1"/>
      </w:pPr>
      <w:r>
        <w:t>14. Human Oversight Is a Capability, Not a Checkbox</w:t>
      </w:r>
    </w:p>
    <w:p>
      <w:pPr>
        <w:pStyle w:val="ListBullet"/>
        <w:spacing w:after="20"/>
      </w:pPr>
      <w:r>
        <w:t>Define what workers may accept, edit, reject, override, or escalate.</w:t>
      </w:r>
    </w:p>
    <w:p>
      <w:pPr>
        <w:pStyle w:val="ListBullet"/>
        <w:spacing w:after="20"/>
      </w:pPr>
      <w:r>
        <w:t>Measure whether they have time and information for meaningful review.</w:t>
      </w:r>
    </w:p>
    <w:p>
      <w:pPr>
        <w:pStyle w:val="ListBullet"/>
        <w:spacing w:after="20"/>
      </w:pPr>
      <w:r>
        <w:t>Track corrections without automatically treating overrides as noncompliance.</w:t>
      </w:r>
    </w:p>
    <w:p>
      <w:pPr>
        <w:pStyle w:val="ListBullet"/>
        <w:spacing w:after="20"/>
      </w:pPr>
      <w:r>
        <w:t>Create escalation routes for model/system failures.</w:t>
      </w:r>
    </w:p>
    <w:p>
      <w:pPr>
        <w:pStyle w:val="ListBullet"/>
        <w:spacing w:after="20"/>
      </w:pPr>
      <w:r>
        <w:t>Separate consequential human review from ceremonial approval.</w:t>
      </w:r>
    </w:p>
    <w:p>
      <w:pPr>
        <w:pStyle w:val="ListBullet"/>
        <w:spacing w:after="20"/>
      </w:pPr>
      <w:r>
        <w:t>Test whether oversight requirements themselves create harmful workload.</w:t>
      </w:r>
    </w:p>
    <w:p>
      <w:pPr>
        <w:pStyle w:val="Heading1"/>
      </w:pPr>
      <w:r>
        <w:t>15. Capacity Release Test</w:t>
      </w:r>
    </w:p>
    <w:p>
      <w:r>
        <w:t>A central ResolveCX proposition is that AI should release human capacity rather than simply reduce headcount or intensify work. Study #007 therefore tracks where saved time actually goes.</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6"/>
              </w:rPr>
              <w:t>Destination</w:t>
            </w:r>
          </w:p>
        </w:tc>
        <w:tc>
          <w:tcPr>
            <w:tcW w:type="dxa" w:w="5040"/>
            <w:shd w:fill="0B3A53"/>
          </w:tcPr>
          <w:p>
            <w:r>
              <w:rPr>
                <w:b/>
                <w:color w:val="FFFFFF"/>
                <w:sz w:val="16"/>
              </w:rPr>
              <w:t>Interpretation to test</w:t>
            </w:r>
          </w:p>
        </w:tc>
      </w:tr>
      <w:tr>
        <w:tc>
          <w:tcPr>
            <w:tcW w:type="dxa" w:w="5040"/>
          </w:tcPr>
          <w:p>
            <w:pPr>
              <w:spacing w:after="0"/>
            </w:pPr>
            <w:r>
              <w:rPr>
                <w:sz w:val="16"/>
              </w:rPr>
              <w:t>Higher-value customer work</w:t>
            </w:r>
          </w:p>
        </w:tc>
        <w:tc>
          <w:tcPr>
            <w:tcW w:type="dxa" w:w="5040"/>
          </w:tcPr>
          <w:p>
            <w:pPr>
              <w:spacing w:after="0"/>
            </w:pPr>
            <w:r>
              <w:rPr>
                <w:sz w:val="16"/>
              </w:rPr>
              <w:t>Potential augmentation value</w:t>
            </w:r>
          </w:p>
        </w:tc>
      </w:tr>
      <w:tr>
        <w:tc>
          <w:tcPr>
            <w:tcW w:type="dxa" w:w="5040"/>
          </w:tcPr>
          <w:p>
            <w:pPr>
              <w:spacing w:after="0"/>
            </w:pPr>
            <w:r>
              <w:rPr>
                <w:sz w:val="16"/>
              </w:rPr>
              <w:t>Coaching/learning</w:t>
            </w:r>
          </w:p>
        </w:tc>
        <w:tc>
          <w:tcPr>
            <w:tcW w:type="dxa" w:w="5040"/>
          </w:tcPr>
          <w:p>
            <w:pPr>
              <w:spacing w:after="0"/>
            </w:pPr>
            <w:r>
              <w:rPr>
                <w:sz w:val="16"/>
              </w:rPr>
              <w:t>Capability investment</w:t>
            </w:r>
          </w:p>
        </w:tc>
      </w:tr>
      <w:tr>
        <w:tc>
          <w:tcPr>
            <w:tcW w:type="dxa" w:w="5040"/>
          </w:tcPr>
          <w:p>
            <w:pPr>
              <w:spacing w:after="0"/>
            </w:pPr>
            <w:r>
              <w:rPr>
                <w:sz w:val="16"/>
              </w:rPr>
              <w:t>Complex/proactive service</w:t>
            </w:r>
          </w:p>
        </w:tc>
        <w:tc>
          <w:tcPr>
            <w:tcW w:type="dxa" w:w="5040"/>
          </w:tcPr>
          <w:p>
            <w:pPr>
              <w:spacing w:after="0"/>
            </w:pPr>
            <w:r>
              <w:rPr>
                <w:sz w:val="16"/>
              </w:rPr>
              <w:t>Service redesign</w:t>
            </w:r>
          </w:p>
        </w:tc>
      </w:tr>
      <w:tr>
        <w:tc>
          <w:tcPr>
            <w:tcW w:type="dxa" w:w="5040"/>
          </w:tcPr>
          <w:p>
            <w:pPr>
              <w:spacing w:after="0"/>
            </w:pPr>
            <w:r>
              <w:rPr>
                <w:sz w:val="16"/>
              </w:rPr>
              <w:t>Recovery/sustainable pacing</w:t>
            </w:r>
          </w:p>
        </w:tc>
        <w:tc>
          <w:tcPr>
            <w:tcW w:type="dxa" w:w="5040"/>
          </w:tcPr>
          <w:p>
            <w:pPr>
              <w:spacing w:after="0"/>
            </w:pPr>
            <w:r>
              <w:rPr>
                <w:sz w:val="16"/>
              </w:rPr>
              <w:t>Employee sustainability</w:t>
            </w:r>
          </w:p>
        </w:tc>
      </w:tr>
      <w:tr>
        <w:tc>
          <w:tcPr>
            <w:tcW w:type="dxa" w:w="5040"/>
          </w:tcPr>
          <w:p>
            <w:pPr>
              <w:spacing w:after="0"/>
            </w:pPr>
            <w:r>
              <w:rPr>
                <w:sz w:val="16"/>
              </w:rPr>
              <w:t>More sales/service expectations</w:t>
            </w:r>
          </w:p>
        </w:tc>
        <w:tc>
          <w:tcPr>
            <w:tcW w:type="dxa" w:w="5040"/>
          </w:tcPr>
          <w:p>
            <w:pPr>
              <w:spacing w:after="0"/>
            </w:pPr>
            <w:r>
              <w:rPr>
                <w:sz w:val="16"/>
              </w:rPr>
              <w:t>Test workload/customer tradeoffs</w:t>
            </w:r>
          </w:p>
        </w:tc>
      </w:tr>
      <w:tr>
        <w:tc>
          <w:tcPr>
            <w:tcW w:type="dxa" w:w="5040"/>
          </w:tcPr>
          <w:p>
            <w:pPr>
              <w:spacing w:after="0"/>
            </w:pPr>
            <w:r>
              <w:rPr>
                <w:sz w:val="16"/>
              </w:rPr>
              <w:t>Higher volume with unchanged staffing</w:t>
            </w:r>
          </w:p>
        </w:tc>
        <w:tc>
          <w:tcPr>
            <w:tcW w:type="dxa" w:w="5040"/>
          </w:tcPr>
          <w:p>
            <w:pPr>
              <w:spacing w:after="0"/>
            </w:pPr>
            <w:r>
              <w:rPr>
                <w:sz w:val="16"/>
              </w:rPr>
              <w:t>Possible work intensification</w:t>
            </w:r>
          </w:p>
        </w:tc>
      </w:tr>
      <w:tr>
        <w:tc>
          <w:tcPr>
            <w:tcW w:type="dxa" w:w="5040"/>
          </w:tcPr>
          <w:p>
            <w:pPr>
              <w:spacing w:after="0"/>
            </w:pPr>
            <w:r>
              <w:rPr>
                <w:sz w:val="16"/>
              </w:rPr>
              <w:t>Headcount reduction</w:t>
            </w:r>
          </w:p>
        </w:tc>
        <w:tc>
          <w:tcPr>
            <w:tcW w:type="dxa" w:w="5040"/>
          </w:tcPr>
          <w:p>
            <w:pPr>
              <w:spacing w:after="0"/>
            </w:pPr>
            <w:r>
              <w:rPr>
                <w:sz w:val="16"/>
              </w:rPr>
              <w:t>Assess workload, quality, access and displacement</w:t>
            </w:r>
          </w:p>
        </w:tc>
      </w:tr>
      <w:tr>
        <w:tc>
          <w:tcPr>
            <w:tcW w:type="dxa" w:w="5040"/>
          </w:tcPr>
          <w:p>
            <w:pPr>
              <w:spacing w:after="0"/>
            </w:pPr>
            <w:r>
              <w:rPr>
                <w:sz w:val="16"/>
              </w:rPr>
              <w:t>No measurable release</w:t>
            </w:r>
          </w:p>
        </w:tc>
        <w:tc>
          <w:tcPr>
            <w:tcW w:type="dxa" w:w="5040"/>
          </w:tcPr>
          <w:p>
            <w:pPr>
              <w:spacing w:after="0"/>
            </w:pPr>
            <w:r>
              <w:rPr>
                <w:sz w:val="16"/>
              </w:rPr>
              <w:t>AI value may be weak or offset by new work</w:t>
            </w:r>
          </w:p>
        </w:tc>
      </w:tr>
    </w:tbl>
    <w:p>
      <w:pPr>
        <w:pStyle w:val="Heading1"/>
      </w:pPr>
      <w:r>
        <w:t>16. Algorithmic Management Boundary</w:t>
      </w:r>
    </w:p>
    <w:p>
      <w:r>
        <w:t>AI that advises a worker and AI that evaluates, schedules, routes, scores, monitors, disciplines, or allocates work are not the same intervention. Functions must be coded separately.</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6"/>
              </w:rPr>
              <w:t>Configuration</w:t>
            </w:r>
          </w:p>
        </w:tc>
        <w:tc>
          <w:tcPr>
            <w:tcW w:type="dxa" w:w="3360"/>
            <w:shd w:fill="0B3A53"/>
          </w:tcPr>
          <w:p>
            <w:r>
              <w:rPr>
                <w:b/>
                <w:color w:val="FFFFFF"/>
                <w:sz w:val="16"/>
              </w:rPr>
              <w:t>Role</w:t>
            </w:r>
          </w:p>
        </w:tc>
        <w:tc>
          <w:tcPr>
            <w:tcW w:type="dxa" w:w="3360"/>
            <w:shd w:fill="0B3A53"/>
          </w:tcPr>
          <w:p>
            <w:r>
              <w:rPr>
                <w:b/>
                <w:color w:val="FFFFFF"/>
                <w:sz w:val="16"/>
              </w:rPr>
              <w:t>Key question</w:t>
            </w:r>
          </w:p>
        </w:tc>
      </w:tr>
      <w:tr>
        <w:tc>
          <w:tcPr>
            <w:tcW w:type="dxa" w:w="3360"/>
          </w:tcPr>
          <w:p>
            <w:pPr>
              <w:spacing w:after="0"/>
            </w:pPr>
            <w:r>
              <w:rPr>
                <w:sz w:val="16"/>
              </w:rPr>
              <w:t>Supplementary</w:t>
            </w:r>
          </w:p>
        </w:tc>
        <w:tc>
          <w:tcPr>
            <w:tcW w:type="dxa" w:w="3360"/>
          </w:tcPr>
          <w:p>
            <w:pPr>
              <w:spacing w:after="0"/>
            </w:pPr>
            <w:r>
              <w:rPr>
                <w:sz w:val="16"/>
              </w:rPr>
              <w:t>Information with worker discretion</w:t>
            </w:r>
          </w:p>
        </w:tc>
        <w:tc>
          <w:tcPr>
            <w:tcW w:type="dxa" w:w="3360"/>
          </w:tcPr>
          <w:p>
            <w:pPr>
              <w:spacing w:after="0"/>
            </w:pPr>
            <w:r>
              <w:rPr>
                <w:sz w:val="16"/>
              </w:rPr>
              <w:t>Does it improve judgment/capability?</w:t>
            </w:r>
          </w:p>
        </w:tc>
      </w:tr>
      <w:tr>
        <w:tc>
          <w:tcPr>
            <w:tcW w:type="dxa" w:w="3360"/>
          </w:tcPr>
          <w:p>
            <w:pPr>
              <w:spacing w:after="0"/>
            </w:pPr>
            <w:r>
              <w:rPr>
                <w:sz w:val="16"/>
              </w:rPr>
              <w:t>Complementary</w:t>
            </w:r>
          </w:p>
        </w:tc>
        <w:tc>
          <w:tcPr>
            <w:tcW w:type="dxa" w:w="3360"/>
          </w:tcPr>
          <w:p>
            <w:pPr>
              <w:spacing w:after="0"/>
            </w:pPr>
            <w:r>
              <w:rPr>
                <w:sz w:val="16"/>
              </w:rPr>
              <w:t>Human and AI perform interdependent strengths</w:t>
            </w:r>
          </w:p>
        </w:tc>
        <w:tc>
          <w:tcPr>
            <w:tcW w:type="dxa" w:w="3360"/>
          </w:tcPr>
          <w:p>
            <w:pPr>
              <w:spacing w:after="0"/>
            </w:pPr>
            <w:r>
              <w:rPr>
                <w:sz w:val="16"/>
              </w:rPr>
              <w:t>Are authority/accountability clear?</w:t>
            </w:r>
          </w:p>
        </w:tc>
      </w:tr>
      <w:tr>
        <w:tc>
          <w:tcPr>
            <w:tcW w:type="dxa" w:w="3360"/>
          </w:tcPr>
          <w:p>
            <w:pPr>
              <w:spacing w:after="0"/>
            </w:pPr>
            <w:r>
              <w:rPr>
                <w:sz w:val="16"/>
              </w:rPr>
              <w:t>Supervisory</w:t>
            </w:r>
          </w:p>
        </w:tc>
        <w:tc>
          <w:tcPr>
            <w:tcW w:type="dxa" w:w="3360"/>
          </w:tcPr>
          <w:p>
            <w:pPr>
              <w:spacing w:after="0"/>
            </w:pPr>
            <w:r>
              <w:rPr>
                <w:sz w:val="16"/>
              </w:rPr>
              <w:t>AI evaluates/guides performance</w:t>
            </w:r>
          </w:p>
        </w:tc>
        <w:tc>
          <w:tcPr>
            <w:tcW w:type="dxa" w:w="3360"/>
          </w:tcPr>
          <w:p>
            <w:pPr>
              <w:spacing w:after="0"/>
            </w:pPr>
            <w:r>
              <w:rPr>
                <w:sz w:val="16"/>
              </w:rPr>
              <w:t>Is feedback accurate, developmental, explainable and contestable?</w:t>
            </w:r>
          </w:p>
        </w:tc>
      </w:tr>
      <w:tr>
        <w:tc>
          <w:tcPr>
            <w:tcW w:type="dxa" w:w="3360"/>
          </w:tcPr>
          <w:p>
            <w:pPr>
              <w:spacing w:after="0"/>
            </w:pPr>
            <w:r>
              <w:rPr>
                <w:sz w:val="16"/>
              </w:rPr>
              <w:t>Surveillance/control</w:t>
            </w:r>
          </w:p>
        </w:tc>
        <w:tc>
          <w:tcPr>
            <w:tcW w:type="dxa" w:w="3360"/>
          </w:tcPr>
          <w:p>
            <w:pPr>
              <w:spacing w:after="0"/>
            </w:pPr>
            <w:r>
              <w:rPr>
                <w:sz w:val="16"/>
              </w:rPr>
              <w:t>AI continuously monitors/allocates/sanctions</w:t>
            </w:r>
          </w:p>
        </w:tc>
        <w:tc>
          <w:tcPr>
            <w:tcW w:type="dxa" w:w="3360"/>
          </w:tcPr>
          <w:p>
            <w:pPr>
              <w:spacing w:after="0"/>
            </w:pPr>
            <w:r>
              <w:rPr>
                <w:sz w:val="16"/>
              </w:rPr>
              <w:t>What happens to autonomy, trust, fairness and well-being?</w:t>
            </w:r>
          </w:p>
        </w:tc>
      </w:tr>
    </w:tbl>
    <w:p>
      <w:pPr>
        <w:pStyle w:val="Heading1"/>
      </w:pPr>
      <w:r>
        <w:t>17. Primary Data Trigger Rules</w:t>
      </w:r>
    </w:p>
    <w:p>
      <w:pPr>
        <w:pStyle w:val="ListBullet"/>
        <w:spacing w:after="20"/>
      </w:pPr>
      <w:r>
        <w:t>Do not survey workers simply to ask whether they like or fear AI.</w:t>
      </w:r>
    </w:p>
    <w:p>
      <w:pPr>
        <w:pStyle w:val="ListBullet"/>
        <w:spacing w:after="20"/>
      </w:pPr>
      <w:r>
        <w:t>Use existing field experiments, system logs, quality data and external research first.</w:t>
      </w:r>
    </w:p>
    <w:p>
      <w:pPr>
        <w:pStyle w:val="ListBullet"/>
        <w:spacing w:after="20"/>
      </w:pPr>
      <w:r>
        <w:t>Use interviews for unresolved mechanisms: trust, override behavior, hidden work, monitoring, escalation, skill change and capacity reinvestment.</w:t>
      </w:r>
    </w:p>
    <w:p>
      <w:pPr>
        <w:pStyle w:val="ListBullet"/>
        <w:spacing w:after="20"/>
      </w:pPr>
      <w:r>
        <w:t>Use surveys only for defined constructs/moderators not captured by behavioral data.</w:t>
      </w:r>
    </w:p>
    <w:p>
      <w:pPr>
        <w:pStyle w:val="ListBullet"/>
        <w:spacing w:after="20"/>
      </w:pPr>
      <w:r>
        <w:t>Prefer within-worker or staggered-rollout designs when AI is introduced over time.</w:t>
      </w:r>
    </w:p>
    <w:p>
      <w:pPr>
        <w:pStyle w:val="ListBullet"/>
        <w:spacing w:after="20"/>
      </w:pPr>
      <w:r>
        <w:t>Measure baseline performance/skill before exposure when possible.</w:t>
      </w:r>
    </w:p>
    <w:p>
      <w:pPr>
        <w:pStyle w:val="ListBullet"/>
        <w:spacing w:after="20"/>
      </w:pPr>
      <w:r>
        <w:t>Use AI-off independent-performance assessments when skill retention is the question.</w:t>
      </w:r>
    </w:p>
    <w:p>
      <w:pPr>
        <w:pStyle w:val="ListBullet"/>
        <w:spacing w:after="20"/>
      </w:pPr>
      <w:r>
        <w:t>Complete an Evidence Sufficiency Decision Record before collection.</w:t>
      </w:r>
    </w:p>
    <w:p>
      <w:pPr>
        <w:pStyle w:val="Heading1"/>
      </w:pPr>
      <w:r>
        <w:t>18. Data Architecture</w:t>
      </w:r>
    </w:p>
    <w:p>
      <w:pPr>
        <w:pStyle w:val="ListBullet"/>
        <w:spacing w:after="20"/>
      </w:pPr>
      <w:r>
        <w:t>Level 1 — External evidence synthesis: AI-at-work, human factors, algorithmic management, labor exposure, governance and contact-center research.</w:t>
      </w:r>
    </w:p>
    <w:p>
      <w:pPr>
        <w:pStyle w:val="ListBullet"/>
        <w:spacing w:after="20"/>
      </w:pPr>
      <w:r>
        <w:t>Level 2 — Existing operational/system data: usage, adoption, latency, overrides, errors, quality, productivity, escalations and customer outcomes.</w:t>
      </w:r>
    </w:p>
    <w:p>
      <w:pPr>
        <w:pStyle w:val="ListBullet"/>
        <w:spacing w:after="20"/>
      </w:pPr>
      <w:r>
        <w:t>Level 3 — Targeted qualitative discovery for unresolved human–AI mechanisms.</w:t>
      </w:r>
    </w:p>
    <w:p>
      <w:pPr>
        <w:pStyle w:val="ListBullet"/>
        <w:spacing w:after="20"/>
      </w:pPr>
      <w:r>
        <w:t>Level 4 — Targeted survey/scenario modules for role-specific literacy, trust, autonomy, workload, monitoring and judgment.</w:t>
      </w:r>
    </w:p>
    <w:p>
      <w:pPr>
        <w:pStyle w:val="ListBullet"/>
        <w:spacing w:after="20"/>
      </w:pPr>
      <w:r>
        <w:t>Level 5 — Longitudinal rollout data: baseline and repeated outcomes as AI use matures.</w:t>
      </w:r>
    </w:p>
    <w:p>
      <w:pPr>
        <w:pStyle w:val="ListBullet"/>
        <w:spacing w:after="20"/>
      </w:pPr>
      <w:r>
        <w:t>Level 6 — Comparative/causal evaluation: staggered rollout, matched comparison, randomized or strong quasi-experimental design where feasible.</w:t>
      </w:r>
    </w:p>
    <w:p>
      <w:pPr>
        <w:pStyle w:val="ListBullet"/>
        <w:spacing w:after="20"/>
      </w:pPr>
      <w:r>
        <w:t>Level 7 — Multi-employer replication and economic/sustainability evaluation.</w:t>
      </w:r>
    </w:p>
    <w:p>
      <w:pPr>
        <w:pStyle w:val="Heading1"/>
      </w:pPr>
      <w:r>
        <w:t>19. Analysis Plan</w:t>
      </w:r>
    </w:p>
    <w:p>
      <w:pPr>
        <w:pStyle w:val="ListBullet"/>
        <w:spacing w:after="20"/>
      </w:pPr>
      <w:r>
        <w:t>Separate AI access from actual use and use quality.</w:t>
      </w:r>
    </w:p>
    <w:p>
      <w:pPr>
        <w:pStyle w:val="ListBullet"/>
        <w:spacing w:after="20"/>
      </w:pPr>
      <w:r>
        <w:t>Estimate heterogeneous effects by experience, baseline skill, task, channel and use case.</w:t>
      </w:r>
    </w:p>
    <w:p>
      <w:pPr>
        <w:pStyle w:val="ListBullet"/>
        <w:spacing w:after="20"/>
      </w:pPr>
      <w:r>
        <w:t>Analyze productivity jointly with quality/customer outcomes.</w:t>
      </w:r>
    </w:p>
    <w:p>
      <w:pPr>
        <w:pStyle w:val="ListBullet"/>
        <w:spacing w:after="20"/>
      </w:pPr>
      <w:r>
        <w:t>Test learning with later independent capability, not only assisted output.</w:t>
      </w:r>
    </w:p>
    <w:p>
      <w:pPr>
        <w:pStyle w:val="ListBullet"/>
        <w:spacing w:after="20"/>
      </w:pPr>
      <w:r>
        <w:t>Model implementation quality, supervisor support and change capacity as competing/moderating explanations.</w:t>
      </w:r>
    </w:p>
    <w:p>
      <w:pPr>
        <w:pStyle w:val="ListBullet"/>
        <w:spacing w:after="20"/>
      </w:pPr>
      <w:r>
        <w:t>Separate worker attitudes from objective monitoring/system characteristics.</w:t>
      </w:r>
    </w:p>
    <w:p>
      <w:pPr>
        <w:pStyle w:val="ListBullet"/>
        <w:spacing w:after="20"/>
      </w:pPr>
      <w:r>
        <w:t>Analyze overrides/corrections as potential evidence of good judgment, not automatically failure.</w:t>
      </w:r>
    </w:p>
    <w:p>
      <w:pPr>
        <w:pStyle w:val="ListBullet"/>
        <w:spacing w:after="20"/>
      </w:pPr>
      <w:r>
        <w:t>Predefine primary outcomes, exclusions and interaction tests before confirmatory analysis.</w:t>
      </w:r>
    </w:p>
    <w:p>
      <w:pPr>
        <w:pStyle w:val="ListBullet"/>
        <w:spacing w:after="20"/>
      </w:pPr>
      <w:r>
        <w:t>Report null, adverse and subgroup effects.</w:t>
      </w:r>
    </w:p>
    <w:p>
      <w:pPr>
        <w:pStyle w:val="Heading1"/>
      </w:pPr>
      <w:r>
        <w:t>20. Claim Ladder</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6"/>
              </w:rPr>
              <w:t>Level</w:t>
            </w:r>
          </w:p>
        </w:tc>
        <w:tc>
          <w:tcPr>
            <w:tcW w:type="dxa" w:w="3360"/>
            <w:shd w:fill="0B3A53"/>
          </w:tcPr>
          <w:p>
            <w:r>
              <w:rPr>
                <w:b/>
                <w:color w:val="FFFFFF"/>
                <w:sz w:val="16"/>
              </w:rPr>
              <w:t>Permitted claim</w:t>
            </w:r>
          </w:p>
        </w:tc>
        <w:tc>
          <w:tcPr>
            <w:tcW w:type="dxa" w:w="3360"/>
            <w:shd w:fill="0B3A53"/>
          </w:tcPr>
          <w:p>
            <w:r>
              <w:rPr>
                <w:b/>
                <w:color w:val="FFFFFF"/>
                <w:sz w:val="16"/>
              </w:rPr>
              <w:t>Minimum evidence</w:t>
            </w:r>
          </w:p>
        </w:tc>
      </w:tr>
      <w:tr>
        <w:tc>
          <w:tcPr>
            <w:tcW w:type="dxa" w:w="3360"/>
          </w:tcPr>
          <w:p>
            <w:pPr>
              <w:spacing w:after="0"/>
            </w:pPr>
            <w:r>
              <w:rPr>
                <w:sz w:val="16"/>
              </w:rPr>
              <w:t>0 Observation</w:t>
            </w:r>
          </w:p>
        </w:tc>
        <w:tc>
          <w:tcPr>
            <w:tcW w:type="dxa" w:w="3360"/>
          </w:tcPr>
          <w:p>
            <w:pPr>
              <w:spacing w:after="0"/>
            </w:pPr>
            <w:r>
              <w:rPr>
                <w:sz w:val="16"/>
              </w:rPr>
              <w:t>Workers describe benefit/risk X.</w:t>
            </w:r>
          </w:p>
        </w:tc>
        <w:tc>
          <w:tcPr>
            <w:tcW w:type="dxa" w:w="3360"/>
          </w:tcPr>
          <w:p>
            <w:pPr>
              <w:spacing w:after="0"/>
            </w:pPr>
            <w:r>
              <w:rPr>
                <w:sz w:val="16"/>
              </w:rPr>
              <w:t>Exploratory evidence</w:t>
            </w:r>
          </w:p>
        </w:tc>
      </w:tr>
      <w:tr>
        <w:tc>
          <w:tcPr>
            <w:tcW w:type="dxa" w:w="3360"/>
          </w:tcPr>
          <w:p>
            <w:pPr>
              <w:spacing w:after="0"/>
            </w:pPr>
            <w:r>
              <w:rPr>
                <w:sz w:val="16"/>
              </w:rPr>
              <w:t>1 External foundation</w:t>
            </w:r>
          </w:p>
        </w:tc>
        <w:tc>
          <w:tcPr>
            <w:tcW w:type="dxa" w:w="3360"/>
          </w:tcPr>
          <w:p>
            <w:pPr>
              <w:spacing w:after="0"/>
            </w:pPr>
            <w:r>
              <w:rPr>
                <w:sz w:val="16"/>
              </w:rPr>
              <w:t>Published evidence supports a general AI-at-work mechanism.</w:t>
            </w:r>
          </w:p>
        </w:tc>
        <w:tc>
          <w:tcPr>
            <w:tcW w:type="dxa" w:w="3360"/>
          </w:tcPr>
          <w:p>
            <w:pPr>
              <w:spacing w:after="0"/>
            </w:pPr>
            <w:r>
              <w:rPr>
                <w:sz w:val="16"/>
              </w:rPr>
              <w:t>High-quality external evidence</w:t>
            </w:r>
          </w:p>
        </w:tc>
      </w:tr>
      <w:tr>
        <w:tc>
          <w:tcPr>
            <w:tcW w:type="dxa" w:w="3360"/>
          </w:tcPr>
          <w:p>
            <w:pPr>
              <w:spacing w:after="0"/>
            </w:pPr>
            <w:r>
              <w:rPr>
                <w:sz w:val="16"/>
              </w:rPr>
              <w:t>2 Association</w:t>
            </w:r>
          </w:p>
        </w:tc>
        <w:tc>
          <w:tcPr>
            <w:tcW w:type="dxa" w:w="3360"/>
          </w:tcPr>
          <w:p>
            <w:pPr>
              <w:spacing w:after="0"/>
            </w:pPr>
            <w:r>
              <w:rPr>
                <w:sz w:val="16"/>
              </w:rPr>
              <w:t>AI use is associated with outcome Y.</w:t>
            </w:r>
          </w:p>
        </w:tc>
        <w:tc>
          <w:tcPr>
            <w:tcW w:type="dxa" w:w="3360"/>
          </w:tcPr>
          <w:p>
            <w:pPr>
              <w:spacing w:after="0"/>
            </w:pPr>
            <w:r>
              <w:rPr>
                <w:sz w:val="16"/>
              </w:rPr>
              <w:t>Adequate observational data + controls</w:t>
            </w:r>
          </w:p>
        </w:tc>
      </w:tr>
      <w:tr>
        <w:tc>
          <w:tcPr>
            <w:tcW w:type="dxa" w:w="3360"/>
          </w:tcPr>
          <w:p>
            <w:pPr>
              <w:spacing w:after="0"/>
            </w:pPr>
            <w:r>
              <w:rPr>
                <w:sz w:val="16"/>
              </w:rPr>
              <w:t>3 Prospective prediction</w:t>
            </w:r>
          </w:p>
        </w:tc>
        <w:tc>
          <w:tcPr>
            <w:tcW w:type="dxa" w:w="3360"/>
          </w:tcPr>
          <w:p>
            <w:pPr>
              <w:spacing w:after="0"/>
            </w:pPr>
            <w:r>
              <w:rPr>
                <w:sz w:val="16"/>
              </w:rPr>
              <w:t>AI-readiness factor predicts later outcomes.</w:t>
            </w:r>
          </w:p>
        </w:tc>
        <w:tc>
          <w:tcPr>
            <w:tcW w:type="dxa" w:w="3360"/>
          </w:tcPr>
          <w:p>
            <w:pPr>
              <w:spacing w:after="0"/>
            </w:pPr>
            <w:r>
              <w:rPr>
                <w:sz w:val="16"/>
              </w:rPr>
              <w:t>Longitudinal evidence</w:t>
            </w:r>
          </w:p>
        </w:tc>
      </w:tr>
      <w:tr>
        <w:tc>
          <w:tcPr>
            <w:tcW w:type="dxa" w:w="3360"/>
          </w:tcPr>
          <w:p>
            <w:pPr>
              <w:spacing w:after="0"/>
            </w:pPr>
            <w:r>
              <w:rPr>
                <w:sz w:val="16"/>
              </w:rPr>
              <w:t>4 Comparative effect</w:t>
            </w:r>
          </w:p>
        </w:tc>
        <w:tc>
          <w:tcPr>
            <w:tcW w:type="dxa" w:w="3360"/>
          </w:tcPr>
          <w:p>
            <w:pPr>
              <w:spacing w:after="0"/>
            </w:pPr>
            <w:r>
              <w:rPr>
                <w:sz w:val="16"/>
              </w:rPr>
              <w:t>AI or ResolveCX preparation changes prespecified outcomes versus credible comparison.</w:t>
            </w:r>
          </w:p>
        </w:tc>
        <w:tc>
          <w:tcPr>
            <w:tcW w:type="dxa" w:w="3360"/>
          </w:tcPr>
          <w:p>
            <w:pPr>
              <w:spacing w:after="0"/>
            </w:pPr>
            <w:r>
              <w:rPr>
                <w:sz w:val="16"/>
              </w:rPr>
              <w:t>Strong quasi-experimental/experimental design</w:t>
            </w:r>
          </w:p>
        </w:tc>
      </w:tr>
      <w:tr>
        <w:tc>
          <w:tcPr>
            <w:tcW w:type="dxa" w:w="3360"/>
          </w:tcPr>
          <w:p>
            <w:pPr>
              <w:spacing w:after="0"/>
            </w:pPr>
            <w:r>
              <w:rPr>
                <w:sz w:val="16"/>
              </w:rPr>
              <w:t>5 Replication</w:t>
            </w:r>
          </w:p>
        </w:tc>
        <w:tc>
          <w:tcPr>
            <w:tcW w:type="dxa" w:w="3360"/>
          </w:tcPr>
          <w:p>
            <w:pPr>
              <w:spacing w:after="0"/>
            </w:pPr>
            <w:r>
              <w:rPr>
                <w:sz w:val="16"/>
              </w:rPr>
              <w:t>Effects recur across employers/tools/populations.</w:t>
            </w:r>
          </w:p>
        </w:tc>
        <w:tc>
          <w:tcPr>
            <w:tcW w:type="dxa" w:w="3360"/>
          </w:tcPr>
          <w:p>
            <w:pPr>
              <w:spacing w:after="0"/>
            </w:pPr>
            <w:r>
              <w:rPr>
                <w:sz w:val="16"/>
              </w:rPr>
              <w:t>Multi-site replication</w:t>
            </w:r>
          </w:p>
        </w:tc>
      </w:tr>
      <w:tr>
        <w:tc>
          <w:tcPr>
            <w:tcW w:type="dxa" w:w="3360"/>
          </w:tcPr>
          <w:p>
            <w:pPr>
              <w:spacing w:after="0"/>
            </w:pPr>
            <w:r>
              <w:rPr>
                <w:sz w:val="16"/>
              </w:rPr>
              <w:t>6 Economic/sustainable value</w:t>
            </w:r>
          </w:p>
        </w:tc>
        <w:tc>
          <w:tcPr>
            <w:tcW w:type="dxa" w:w="3360"/>
          </w:tcPr>
          <w:p>
            <w:pPr>
              <w:spacing w:after="0"/>
            </w:pPr>
            <w:r>
              <w:rPr>
                <w:sz w:val="16"/>
              </w:rPr>
              <w:t>Benefits exceed implementation, governance, human and customer costs.</w:t>
            </w:r>
          </w:p>
        </w:tc>
        <w:tc>
          <w:tcPr>
            <w:tcW w:type="dxa" w:w="3360"/>
          </w:tcPr>
          <w:p>
            <w:pPr>
              <w:spacing w:after="0"/>
            </w:pPr>
            <w:r>
              <w:rPr>
                <w:sz w:val="16"/>
              </w:rPr>
              <w:t>Validated outcomes + economic analysis</w:t>
            </w:r>
          </w:p>
        </w:tc>
      </w:tr>
    </w:tbl>
    <w:p>
      <w:pPr>
        <w:pStyle w:val="Heading1"/>
      </w:pPr>
      <w:r>
        <w:t>21. ResolveCX Proof Boundary</w:t>
      </w:r>
    </w:p>
    <w:p>
      <w:r>
        <w:t>External evidence can establish that certain AI tools, governance principles, or algorithmic-management configurations matter. It cannot establish that a ResolveCX AI-readiness curriculum, assessment, or deployment framework causes better outcomes. Direct ResolveCX evaluation is required before effectiveness, retention, productivity, safety, or ROI claims.</w:t>
      </w:r>
    </w:p>
    <w:p>
      <w:pPr>
        <w:pStyle w:val="Heading1"/>
      </w:pPr>
      <w:r>
        <w:t>22. Ongoing Research Publication Language</w:t>
      </w:r>
    </w:p>
    <w:p>
      <w:r>
        <w:t>Research Status: Ongoing. Existing evidence establishes several foundations while major questions remain unresolved or ResolveCX-specific. Public materials must distinguish external findings, ResolveCX hypotheses, unresolved questions, original data collection, and current finding status.</w:t>
      </w:r>
    </w:p>
    <w:p>
      <w:pPr>
        <w:pStyle w:val="Heading1"/>
      </w:pPr>
      <w:r>
        <w:t>23. Research Quality and Release Standards</w:t>
      </w:r>
    </w:p>
    <w:p>
      <w:pPr>
        <w:pStyle w:val="ListBullet"/>
        <w:spacing w:after="20"/>
      </w:pPr>
      <w:r>
        <w:t>Evidence sufficiency—not arbitrary interview/survey/source quotas—governs research decisions.</w:t>
      </w:r>
    </w:p>
    <w:p>
      <w:pPr>
        <w:pStyle w:val="ListBullet"/>
        <w:spacing w:after="20"/>
      </w:pPr>
      <w:r>
        <w:t>Do not equate AI adoption with AI value.</w:t>
      </w:r>
    </w:p>
    <w:p>
      <w:pPr>
        <w:pStyle w:val="ListBullet"/>
        <w:spacing w:after="20"/>
      </w:pPr>
      <w:r>
        <w:t>Do not equate productivity with successful augmentation.</w:t>
      </w:r>
    </w:p>
    <w:p>
      <w:pPr>
        <w:pStyle w:val="ListBullet"/>
        <w:spacing w:after="20"/>
      </w:pPr>
      <w:r>
        <w:t>Do not equate human-in-the-loop with meaningful human authority.</w:t>
      </w:r>
    </w:p>
    <w:p>
      <w:pPr>
        <w:pStyle w:val="ListBullet"/>
        <w:spacing w:after="20"/>
      </w:pPr>
      <w:r>
        <w:t>Do not equate AI exposure with job loss.</w:t>
      </w:r>
    </w:p>
    <w:p>
      <w:pPr>
        <w:pStyle w:val="ListBullet"/>
        <w:spacing w:after="20"/>
      </w:pPr>
      <w:r>
        <w:t>Do not create a proprietary AI-readiness index before validation.</w:t>
      </w:r>
    </w:p>
    <w:p>
      <w:pPr>
        <w:pStyle w:val="ListBullet"/>
        <w:spacing w:after="20"/>
      </w:pPr>
      <w:r>
        <w:t>Preserve independent human capability as an explicit outcome.</w:t>
      </w:r>
    </w:p>
    <w:p>
      <w:pPr>
        <w:pStyle w:val="ListBullet"/>
        <w:spacing w:after="20"/>
      </w:pPr>
      <w:r>
        <w:t>Treat monitoring/algorithmic management separately from assistance.</w:t>
      </w:r>
    </w:p>
    <w:p>
      <w:pPr>
        <w:pStyle w:val="ListBullet"/>
        <w:spacing w:after="20"/>
      </w:pPr>
      <w:r>
        <w:t>Actively seek non-AI alternatives and contradictory evidence.</w:t>
      </w:r>
    </w:p>
    <w:p>
      <w:pPr>
        <w:pStyle w:val="ListBullet"/>
        <w:spacing w:after="20"/>
      </w:pPr>
      <w:r>
        <w:t>Require direct ResolveCX evaluation before effectiveness/ROI claims.</w:t>
      </w:r>
    </w:p>
    <w:p>
      <w:pPr>
        <w:pStyle w:val="ListBullet"/>
        <w:spacing w:after="20"/>
      </w:pPr>
      <w:r>
        <w:t>Require replication before broad industry claims.</w:t>
      </w:r>
    </w:p>
    <w:p>
      <w:pPr>
        <w:pStyle w:val="Heading1"/>
      </w:pPr>
      <w:r>
        <w:t>24. Initial Evidence Registry — Study #007</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Source</w:t>
            </w:r>
          </w:p>
        </w:tc>
        <w:tc>
          <w:tcPr>
            <w:tcW w:type="dxa" w:w="3360"/>
            <w:shd w:fill="0B3A53"/>
          </w:tcPr>
          <w:p>
            <w:r>
              <w:rPr>
                <w:b/>
                <w:color w:val="FFFFFF"/>
                <w:sz w:val="15"/>
              </w:rPr>
              <w:t>Evidence type</w:t>
            </w:r>
          </w:p>
        </w:tc>
        <w:tc>
          <w:tcPr>
            <w:tcW w:type="dxa" w:w="3360"/>
            <w:shd w:fill="0B3A53"/>
          </w:tcPr>
          <w:p>
            <w:r>
              <w:rPr>
                <w:b/>
                <w:color w:val="FFFFFF"/>
                <w:sz w:val="15"/>
              </w:rPr>
              <w:t>Locator</w:t>
            </w:r>
          </w:p>
        </w:tc>
      </w:tr>
      <w:tr>
        <w:tc>
          <w:tcPr>
            <w:tcW w:type="dxa" w:w="3360"/>
          </w:tcPr>
          <w:p>
            <w:pPr>
              <w:spacing w:after="0"/>
            </w:pPr>
            <w:r>
              <w:rPr>
                <w:sz w:val="15"/>
              </w:rPr>
              <w:t>Brynjolfsson, Li &amp; Raymond. Generative AI at Work. NBER WP 31161; published QJE 2025.</w:t>
            </w:r>
          </w:p>
        </w:tc>
        <w:tc>
          <w:tcPr>
            <w:tcW w:type="dxa" w:w="3360"/>
          </w:tcPr>
          <w:p>
            <w:pPr>
              <w:spacing w:after="0"/>
            </w:pPr>
            <w:r>
              <w:rPr>
                <w:sz w:val="15"/>
              </w:rPr>
              <w:t>Field rollout, 5,179 customer-support agents</w:t>
            </w:r>
          </w:p>
        </w:tc>
        <w:tc>
          <w:tcPr>
            <w:tcW w:type="dxa" w:w="3360"/>
          </w:tcPr>
          <w:p>
            <w:pPr>
              <w:spacing w:after="0"/>
            </w:pPr>
            <w:r>
              <w:rPr>
                <w:sz w:val="15"/>
              </w:rPr>
              <w:t>NBER Working Paper 31161; DOI 10.3386/w31161</w:t>
            </w:r>
          </w:p>
        </w:tc>
      </w:tr>
      <w:tr>
        <w:tc>
          <w:tcPr>
            <w:tcW w:type="dxa" w:w="3360"/>
          </w:tcPr>
          <w:p>
            <w:pPr>
              <w:spacing w:after="0"/>
            </w:pPr>
            <w:r>
              <w:rPr>
                <w:sz w:val="15"/>
              </w:rPr>
              <w:t>ILO. Generative AI and Jobs: A Refined Global Index of Occupational Exposure (2025).</w:t>
            </w:r>
          </w:p>
        </w:tc>
        <w:tc>
          <w:tcPr>
            <w:tcW w:type="dxa" w:w="3360"/>
          </w:tcPr>
          <w:p>
            <w:pPr>
              <w:spacing w:after="0"/>
            </w:pPr>
            <w:r>
              <w:rPr>
                <w:sz w:val="15"/>
              </w:rPr>
              <w:t>Global task-level exposure research</w:t>
            </w:r>
          </w:p>
        </w:tc>
        <w:tc>
          <w:tcPr>
            <w:tcW w:type="dxa" w:w="3360"/>
          </w:tcPr>
          <w:p>
            <w:pPr>
              <w:spacing w:after="0"/>
            </w:pPr>
            <w:r>
              <w:rPr>
                <w:sz w:val="15"/>
              </w:rPr>
              <w:t>ILO Working Paper 140</w:t>
            </w:r>
          </w:p>
        </w:tc>
      </w:tr>
      <w:tr>
        <w:tc>
          <w:tcPr>
            <w:tcW w:type="dxa" w:w="3360"/>
          </w:tcPr>
          <w:p>
            <w:pPr>
              <w:spacing w:after="0"/>
            </w:pPr>
            <w:r>
              <w:rPr>
                <w:sz w:val="15"/>
              </w:rPr>
              <w:t>NIST. AI Risk Management Framework 1.0.</w:t>
            </w:r>
          </w:p>
        </w:tc>
        <w:tc>
          <w:tcPr>
            <w:tcW w:type="dxa" w:w="3360"/>
          </w:tcPr>
          <w:p>
            <w:pPr>
              <w:spacing w:after="0"/>
            </w:pPr>
            <w:r>
              <w:rPr>
                <w:sz w:val="15"/>
              </w:rPr>
              <w:t>Official governance framework</w:t>
            </w:r>
          </w:p>
        </w:tc>
        <w:tc>
          <w:tcPr>
            <w:tcW w:type="dxa" w:w="3360"/>
          </w:tcPr>
          <w:p>
            <w:pPr>
              <w:spacing w:after="0"/>
            </w:pPr>
            <w:r>
              <w:rPr>
                <w:sz w:val="15"/>
              </w:rPr>
              <w:t>NIST AI 100-1</w:t>
            </w:r>
          </w:p>
        </w:tc>
      </w:tr>
      <w:tr>
        <w:tc>
          <w:tcPr>
            <w:tcW w:type="dxa" w:w="3360"/>
          </w:tcPr>
          <w:p>
            <w:pPr>
              <w:spacing w:after="0"/>
            </w:pPr>
            <w:r>
              <w:rPr>
                <w:sz w:val="15"/>
              </w:rPr>
              <w:t>NIST. AI RMF: Generative Artificial Intelligence Profile (2024; updated 2026).</w:t>
            </w:r>
          </w:p>
        </w:tc>
        <w:tc>
          <w:tcPr>
            <w:tcW w:type="dxa" w:w="3360"/>
          </w:tcPr>
          <w:p>
            <w:pPr>
              <w:spacing w:after="0"/>
            </w:pPr>
            <w:r>
              <w:rPr>
                <w:sz w:val="15"/>
              </w:rPr>
              <w:t>Official GenAI risk profile</w:t>
            </w:r>
          </w:p>
        </w:tc>
        <w:tc>
          <w:tcPr>
            <w:tcW w:type="dxa" w:w="3360"/>
          </w:tcPr>
          <w:p>
            <w:pPr>
              <w:spacing w:after="0"/>
            </w:pPr>
            <w:r>
              <w:rPr>
                <w:sz w:val="15"/>
              </w:rPr>
              <w:t>NIST AI 600-1; DOI 10.6028/NIST.AI.600-1</w:t>
            </w:r>
          </w:p>
        </w:tc>
      </w:tr>
      <w:tr>
        <w:tc>
          <w:tcPr>
            <w:tcW w:type="dxa" w:w="3360"/>
          </w:tcPr>
          <w:p>
            <w:pPr>
              <w:spacing w:after="0"/>
            </w:pPr>
            <w:r>
              <w:rPr>
                <w:sz w:val="15"/>
              </w:rPr>
              <w:t>Noponen et al. Taylorism on steroids or enabling autonomy? (2024).</w:t>
            </w:r>
          </w:p>
        </w:tc>
        <w:tc>
          <w:tcPr>
            <w:tcW w:type="dxa" w:w="3360"/>
          </w:tcPr>
          <w:p>
            <w:pPr>
              <w:spacing w:after="0"/>
            </w:pPr>
            <w:r>
              <w:rPr>
                <w:sz w:val="15"/>
              </w:rPr>
              <w:t>Systematic review, 172 articles</w:t>
            </w:r>
          </w:p>
        </w:tc>
        <w:tc>
          <w:tcPr>
            <w:tcW w:type="dxa" w:w="3360"/>
          </w:tcPr>
          <w:p>
            <w:pPr>
              <w:spacing w:after="0"/>
            </w:pPr>
            <w:r>
              <w:rPr>
                <w:sz w:val="15"/>
              </w:rPr>
              <w:t>Management Review Quarterly 74:1695–1721</w:t>
            </w:r>
          </w:p>
        </w:tc>
      </w:tr>
      <w:tr>
        <w:tc>
          <w:tcPr>
            <w:tcW w:type="dxa" w:w="3360"/>
          </w:tcPr>
          <w:p>
            <w:pPr>
              <w:spacing w:after="0"/>
            </w:pPr>
            <w:r>
              <w:rPr>
                <w:sz w:val="15"/>
              </w:rPr>
              <w:t>Chen et al. Algorithmic management in the workplace (2026).</w:t>
            </w:r>
          </w:p>
        </w:tc>
        <w:tc>
          <w:tcPr>
            <w:tcW w:type="dxa" w:w="3360"/>
          </w:tcPr>
          <w:p>
            <w:pPr>
              <w:spacing w:after="0"/>
            </w:pPr>
            <w:r>
              <w:rPr>
                <w:sz w:val="15"/>
              </w:rPr>
              <w:t>Systematic review, 167 articles</w:t>
            </w:r>
          </w:p>
        </w:tc>
        <w:tc>
          <w:tcPr>
            <w:tcW w:type="dxa" w:w="3360"/>
          </w:tcPr>
          <w:p>
            <w:pPr>
              <w:spacing w:after="0"/>
            </w:pPr>
            <w:r>
              <w:rPr>
                <w:sz w:val="15"/>
              </w:rPr>
              <w:t>International Journal of Information Management 86:102994</w:t>
            </w:r>
          </w:p>
        </w:tc>
      </w:tr>
      <w:tr>
        <w:tc>
          <w:tcPr>
            <w:tcW w:type="dxa" w:w="3360"/>
          </w:tcPr>
          <w:p>
            <w:pPr>
              <w:spacing w:after="0"/>
            </w:pPr>
            <w:r>
              <w:rPr>
                <w:sz w:val="15"/>
              </w:rPr>
              <w:t>Does leading through algorithmic management impact workers' well-being? (2025).</w:t>
            </w:r>
          </w:p>
        </w:tc>
        <w:tc>
          <w:tcPr>
            <w:tcW w:type="dxa" w:w="3360"/>
          </w:tcPr>
          <w:p>
            <w:pPr>
              <w:spacing w:after="0"/>
            </w:pPr>
            <w:r>
              <w:rPr>
                <w:sz w:val="15"/>
              </w:rPr>
              <w:t>Systematic review, 29 studies</w:t>
            </w:r>
          </w:p>
        </w:tc>
        <w:tc>
          <w:tcPr>
            <w:tcW w:type="dxa" w:w="3360"/>
          </w:tcPr>
          <w:p>
            <w:pPr>
              <w:spacing w:after="0"/>
            </w:pPr>
            <w:r>
              <w:rPr>
                <w:sz w:val="15"/>
              </w:rPr>
              <w:t>Leadership &amp; Organization Development Journal 47(2):218–242</w:t>
            </w:r>
          </w:p>
        </w:tc>
      </w:tr>
      <w:tr>
        <w:tc>
          <w:tcPr>
            <w:tcW w:type="dxa" w:w="3360"/>
          </w:tcPr>
          <w:p>
            <w:pPr>
              <w:spacing w:after="0"/>
            </w:pPr>
            <w:r>
              <w:rPr>
                <w:sz w:val="15"/>
              </w:rPr>
              <w:t>Lu. The algorithmic management paradox (2026).</w:t>
            </w:r>
          </w:p>
        </w:tc>
        <w:tc>
          <w:tcPr>
            <w:tcW w:type="dxa" w:w="3360"/>
          </w:tcPr>
          <w:p>
            <w:pPr>
              <w:spacing w:after="0"/>
            </w:pPr>
            <w:r>
              <w:rPr>
                <w:sz w:val="15"/>
              </w:rPr>
              <w:t>Structured integrative review, 41 sources</w:t>
            </w:r>
          </w:p>
        </w:tc>
        <w:tc>
          <w:tcPr>
            <w:tcW w:type="dxa" w:w="3360"/>
          </w:tcPr>
          <w:p>
            <w:pPr>
              <w:spacing w:after="0"/>
            </w:pPr>
            <w:r>
              <w:rPr>
                <w:sz w:val="15"/>
              </w:rPr>
              <w:t>Frontiers in Psychology 17:1829522</w:t>
            </w:r>
          </w:p>
        </w:tc>
      </w:tr>
      <w:tr>
        <w:tc>
          <w:tcPr>
            <w:tcW w:type="dxa" w:w="3360"/>
          </w:tcPr>
          <w:p>
            <w:pPr>
              <w:spacing w:after="0"/>
            </w:pPr>
            <w:r>
              <w:rPr>
                <w:sz w:val="15"/>
              </w:rPr>
              <w:t>Kadolkar et al. Algorithmic management in the gig economy (2025).</w:t>
            </w:r>
          </w:p>
        </w:tc>
        <w:tc>
          <w:tcPr>
            <w:tcW w:type="dxa" w:w="3360"/>
          </w:tcPr>
          <w:p>
            <w:pPr>
              <w:spacing w:after="0"/>
            </w:pPr>
            <w:r>
              <w:rPr>
                <w:sz w:val="15"/>
              </w:rPr>
              <w:t>Systematic review/research integration</w:t>
            </w:r>
          </w:p>
        </w:tc>
        <w:tc>
          <w:tcPr>
            <w:tcW w:type="dxa" w:w="3360"/>
          </w:tcPr>
          <w:p>
            <w:pPr>
              <w:spacing w:after="0"/>
            </w:pPr>
            <w:r>
              <w:rPr>
                <w:sz w:val="15"/>
              </w:rPr>
              <w:t>Journal of Organizational Behavior; DOI 10.1002/job.2831</w:t>
            </w:r>
          </w:p>
        </w:tc>
      </w:tr>
    </w:tbl>
    <w:p>
      <w:pPr>
        <w:pStyle w:val="Heading1"/>
      </w:pPr>
      <w:r>
        <w:t>25. Evidence Registry Development Target</w:t>
      </w:r>
    </w:p>
    <w:p>
      <w:r>
        <w:t>Before confirmatory ResolveCX AI-readiness testing, expand the Master Evidence Registry with sufficiently diverse, deduplicated evidence: contact-center/customer-support field studies; human–AI collaboration experiments; learning/skill-retention research; algorithmic-management and monitoring studies; human factors/automation reliance research; labor-market exposure/displacement evidence; governance/oversight standards; and contradictory/null findings. A practical milestone is 25+ high-relevance unique sources, but evidence quality and sufficiency govern decisions—not the count.</w:t>
      </w:r>
    </w:p>
    <w:p>
      <w:pPr>
        <w:pStyle w:val="Heading1"/>
      </w:pPr>
      <w:r>
        <w:t>26. Decision Record Before New Interviews or Surveys</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6"/>
              </w:rPr>
              <w:t>Field</w:t>
            </w:r>
          </w:p>
        </w:tc>
        <w:tc>
          <w:tcPr>
            <w:tcW w:type="dxa" w:w="5040"/>
            <w:shd w:fill="0B3A53"/>
          </w:tcPr>
          <w:p>
            <w:r>
              <w:rPr>
                <w:b/>
                <w:color w:val="FFFFFF"/>
                <w:sz w:val="16"/>
              </w:rPr>
              <w:t>Required decision</w:t>
            </w:r>
          </w:p>
        </w:tc>
      </w:tr>
      <w:tr>
        <w:tc>
          <w:tcPr>
            <w:tcW w:type="dxa" w:w="5040"/>
          </w:tcPr>
          <w:p>
            <w:pPr>
              <w:spacing w:after="0"/>
            </w:pPr>
            <w:r>
              <w:rPr>
                <w:sz w:val="16"/>
              </w:rPr>
              <w:t>Unresolved question</w:t>
            </w:r>
          </w:p>
        </w:tc>
        <w:tc>
          <w:tcPr>
            <w:tcW w:type="dxa" w:w="5040"/>
          </w:tcPr>
          <w:p>
            <w:pPr>
              <w:spacing w:after="0"/>
            </w:pPr>
            <w:r>
              <w:rPr>
                <w:sz w:val="16"/>
              </w:rPr>
              <w:t>Exactly what remains unknown?</w:t>
            </w:r>
          </w:p>
        </w:tc>
      </w:tr>
      <w:tr>
        <w:tc>
          <w:tcPr>
            <w:tcW w:type="dxa" w:w="5040"/>
          </w:tcPr>
          <w:p>
            <w:pPr>
              <w:spacing w:after="0"/>
            </w:pPr>
            <w:r>
              <w:rPr>
                <w:sz w:val="16"/>
              </w:rPr>
              <w:t>Existing evidence</w:t>
            </w:r>
          </w:p>
        </w:tc>
        <w:tc>
          <w:tcPr>
            <w:tcW w:type="dxa" w:w="5040"/>
          </w:tcPr>
          <w:p>
            <w:pPr>
              <w:spacing w:after="0"/>
            </w:pPr>
            <w:r>
              <w:rPr>
                <w:sz w:val="16"/>
              </w:rPr>
              <w:t>What already addresses it?</w:t>
            </w:r>
          </w:p>
        </w:tc>
      </w:tr>
      <w:tr>
        <w:tc>
          <w:tcPr>
            <w:tcW w:type="dxa" w:w="5040"/>
          </w:tcPr>
          <w:p>
            <w:pPr>
              <w:spacing w:after="0"/>
            </w:pPr>
            <w:r>
              <w:rPr>
                <w:sz w:val="16"/>
              </w:rPr>
              <w:t>Why insufficient</w:t>
            </w:r>
          </w:p>
        </w:tc>
        <w:tc>
          <w:tcPr>
            <w:tcW w:type="dxa" w:w="5040"/>
          </w:tcPr>
          <w:p>
            <w:pPr>
              <w:spacing w:after="0"/>
            </w:pPr>
            <w:r>
              <w:rPr>
                <w:sz w:val="16"/>
              </w:rPr>
              <w:t>What limitation prevents a decision?</w:t>
            </w:r>
          </w:p>
        </w:tc>
      </w:tr>
      <w:tr>
        <w:tc>
          <w:tcPr>
            <w:tcW w:type="dxa" w:w="5040"/>
          </w:tcPr>
          <w:p>
            <w:pPr>
              <w:spacing w:after="0"/>
            </w:pPr>
            <w:r>
              <w:rPr>
                <w:sz w:val="16"/>
              </w:rPr>
              <w:t>Best next evidence</w:t>
            </w:r>
          </w:p>
        </w:tc>
        <w:tc>
          <w:tcPr>
            <w:tcW w:type="dxa" w:w="5040"/>
          </w:tcPr>
          <w:p>
            <w:pPr>
              <w:spacing w:after="0"/>
            </w:pPr>
            <w:r>
              <w:rPr>
                <w:sz w:val="16"/>
              </w:rPr>
              <w:t>System logs, employer data, interview, survey, longitudinal or comparative study—or none.</w:t>
            </w:r>
          </w:p>
        </w:tc>
      </w:tr>
      <w:tr>
        <w:tc>
          <w:tcPr>
            <w:tcW w:type="dxa" w:w="5040"/>
          </w:tcPr>
          <w:p>
            <w:pPr>
              <w:spacing w:after="0"/>
            </w:pPr>
            <w:r>
              <w:rPr>
                <w:sz w:val="16"/>
              </w:rPr>
              <w:t>Decision value</w:t>
            </w:r>
          </w:p>
        </w:tc>
        <w:tc>
          <w:tcPr>
            <w:tcW w:type="dxa" w:w="5040"/>
          </w:tcPr>
          <w:p>
            <w:pPr>
              <w:spacing w:after="0"/>
            </w:pPr>
            <w:r>
              <w:rPr>
                <w:sz w:val="16"/>
              </w:rPr>
              <w:t>What ResolveCX design/business decision changes?</w:t>
            </w:r>
          </w:p>
        </w:tc>
      </w:tr>
      <w:tr>
        <w:tc>
          <w:tcPr>
            <w:tcW w:type="dxa" w:w="5040"/>
          </w:tcPr>
          <w:p>
            <w:pPr>
              <w:spacing w:after="0"/>
            </w:pPr>
            <w:r>
              <w:rPr>
                <w:sz w:val="16"/>
              </w:rPr>
              <w:t>Stop rule</w:t>
            </w:r>
          </w:p>
        </w:tc>
        <w:tc>
          <w:tcPr>
            <w:tcW w:type="dxa" w:w="5040"/>
          </w:tcPr>
          <w:p>
            <w:pPr>
              <w:spacing w:after="0"/>
            </w:pPr>
            <w:r>
              <w:rPr>
                <w:sz w:val="16"/>
              </w:rPr>
              <w:t>What evidence makes additional collection unnecessary?</w:t>
            </w:r>
          </w:p>
        </w:tc>
      </w:tr>
    </w:tbl>
    <w:p>
      <w:pPr>
        <w:pStyle w:val="Heading1"/>
      </w:pPr>
      <w:r>
        <w:t>27. Immediate Implementation Sequence</w:t>
      </w:r>
    </w:p>
    <w:p>
      <w:pPr>
        <w:pStyle w:val="ListNumber"/>
        <w:spacing w:after="20"/>
      </w:pPr>
      <w:r>
        <w:t>Add Study #007 and its unique sources/hypotheses to the ResolveCX Master Evidence Registry and deduplicate across Studies #001–#006.</w:t>
      </w:r>
    </w:p>
    <w:p>
      <w:pPr>
        <w:pStyle w:val="ListNumber"/>
        <w:spacing w:after="20"/>
      </w:pPr>
      <w:r>
        <w:t>Conduct an Evidence Sufficiency Review for H1–H12 before launching primary research.</w:t>
      </w:r>
    </w:p>
    <w:p>
      <w:pPr>
        <w:pStyle w:val="ListNumber"/>
        <w:spacing w:after="20"/>
      </w:pPr>
      <w:r>
        <w:t>Build the AI + Human Readiness Construct Dictionary without creating a composite score.</w:t>
      </w:r>
    </w:p>
    <w:p>
      <w:pPr>
        <w:pStyle w:val="ListNumber"/>
        <w:spacing w:after="20"/>
      </w:pPr>
      <w:r>
        <w:t>Map existing customer-support/contact-center AI field studies and human-factors evidence, including contradictory/null findings.</w:t>
      </w:r>
    </w:p>
    <w:p>
      <w:pPr>
        <w:pStyle w:val="ListNumber"/>
        <w:spacing w:after="20"/>
      </w:pPr>
      <w:r>
        <w:t>Define a minimum AI deployment dataset: baseline performance, use/adoption, quality, productivity, overrides, errors, escalations, customer outcomes, workload and learning.</w:t>
      </w:r>
    </w:p>
    <w:p>
      <w:pPr>
        <w:pStyle w:val="ListNumber"/>
        <w:spacing w:after="20"/>
      </w:pPr>
      <w:r>
        <w:t>Develop targeted scenario items for verification, uncertainty, override and escalation only if existing measures are insufficient.</w:t>
      </w:r>
    </w:p>
    <w:p>
      <w:pPr>
        <w:pStyle w:val="ListNumber"/>
        <w:spacing w:after="20"/>
      </w:pPr>
      <w:r>
        <w:t>Create the Capacity Release ledger to document where AI-generated time savings are reinvested.</w:t>
      </w:r>
    </w:p>
    <w:p>
      <w:pPr>
        <w:pStyle w:val="ListNumber"/>
        <w:spacing w:after="20"/>
      </w:pPr>
      <w:r>
        <w:t>Require use-case-specific governance and human-authority documentation before labeling an implementation human-ready.</w:t>
      </w:r>
    </w:p>
    <w:p>
      <w:pPr>
        <w:pStyle w:val="ListNumber"/>
        <w:spacing w:after="20"/>
      </w:pPr>
      <w:r>
        <w:t>Evaluate any ResolveCX AI-readiness intervention with a credible comparison and independent capability outcomes.</w:t>
      </w:r>
    </w:p>
    <w:p>
      <w:pPr>
        <w:pStyle w:val="ListNumber"/>
        <w:spacing w:after="20"/>
      </w:pPr>
      <w:r>
        <w:t>Replicate across employers/tools/use cases before broad commercialization or industry-wide claims.</w:t>
      </w:r>
    </w:p>
    <w:p>
      <w:pPr>
        <w:pStyle w:val="Heading1"/>
      </w:pPr>
      <w:r>
        <w:t>28. Protocol Decision</w:t>
      </w:r>
    </w:p>
    <w:p>
      <w:r>
        <w:t>Study #007 is approved for introduction as Ongoing Research. The protocol is evidence-first, falsifiable, human-centered, use-case specific, and designed to distinguish true augmentation from narrow efficiency, work intensification, algorithmic control, or displacement. The study remains open to the conclusion that AI is highly valuable for some tasks and workers, neutral for others, harmful in some configurations, or inferior to simpler non-AI solutions.</w:t>
      </w:r>
    </w:p>
    <w:p>
      <w:r>
        <w:br w:type="page"/>
      </w:r>
    </w:p>
    <w:p>
      <w:pPr>
        <w:pStyle w:val="Heading1"/>
      </w:pPr>
      <w:r>
        <w:t>29. v1.1 Elevation Amendment - Failure Recovery, Resilience, and Cross-Study Integration</w:t>
      </w:r>
    </w:p>
    <w:p>
      <w:r>
        <w:t>This amendment is part of the Study #007 protocol and supersedes any narrower v1.0 treatment of skill erosion, oversight, failure response, and cross-study relationships. It adds two hypotheses and corresponding measures because AI system quality cannot be judged only by routine performance. A human-AI system must also be evaluated on how it detects, contains, recovers from, and learns from failure, and how the operation functions when AI is degraded or unavailable.</w:t>
      </w:r>
    </w:p>
    <w:p>
      <w:pPr>
        <w:pStyle w:val="Heading1"/>
      </w:pPr>
      <w:r>
        <w:t>30. Additional Hypotheses</w:t>
      </w:r>
    </w:p>
    <w:p>
      <w:r>
        <w:rPr>
          <w:b/>
        </w:rPr>
        <w:t>H13 - Human-AI Failure Recovery</w:t>
      </w:r>
      <w:r>
        <w:t>: Human-AI systems with stronger error detection, correction, escalation, containment, recovery, and organizational-learning mechanisms will produce better downstream outcomes than systems evaluated primarily on raw model accuracy.</w:t>
      </w:r>
    </w:p>
    <w:p>
      <w:r>
        <w:rPr>
          <w:b/>
        </w:rPr>
        <w:t>H14 - Human-AI Operational Resilience</w:t>
      </w:r>
      <w:r>
        <w:t>: Organizations that preserve essential non-AI human capability, fallback workflows, escalation paths, authority transfer, and recovery procedures will experience less operational disruption when AI systems are unavailable, degraded, unreliable, or outside intended use.</w:t>
      </w:r>
    </w:p>
    <w:p>
      <w:pPr>
        <w:pStyle w:val="Heading1"/>
      </w:pPr>
      <w:r>
        <w:t>31. Evidence Sufficiency Triage for H13-H14</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Hypothesis</w:t>
            </w:r>
          </w:p>
        </w:tc>
        <w:tc>
          <w:tcPr>
            <w:tcW w:type="dxa" w:w="3360"/>
            <w:shd w:fill="0B3A53"/>
          </w:tcPr>
          <w:p>
            <w:r>
              <w:rPr>
                <w:b/>
                <w:color w:val="FFFFFF"/>
                <w:sz w:val="15"/>
              </w:rPr>
              <w:t>Current evidence status</w:t>
            </w:r>
          </w:p>
        </w:tc>
        <w:tc>
          <w:tcPr>
            <w:tcW w:type="dxa" w:w="3360"/>
            <w:shd w:fill="0B3A53"/>
          </w:tcPr>
          <w:p>
            <w:r>
              <w:rPr>
                <w:b/>
                <w:color w:val="FFFFFF"/>
                <w:sz w:val="15"/>
              </w:rPr>
              <w:t>Primary research implication</w:t>
            </w:r>
          </w:p>
        </w:tc>
      </w:tr>
      <w:tr>
        <w:tc>
          <w:tcPr>
            <w:tcW w:type="dxa" w:w="3360"/>
          </w:tcPr>
          <w:p>
            <w:pPr>
              <w:spacing w:after="0"/>
            </w:pPr>
            <w:r>
              <w:rPr>
                <w:sz w:val="15"/>
              </w:rPr>
              <w:t>H13 Failure Recovery</w:t>
            </w:r>
          </w:p>
        </w:tc>
        <w:tc>
          <w:tcPr>
            <w:tcW w:type="dxa" w:w="3360"/>
          </w:tcPr>
          <w:p>
            <w:pPr>
              <w:spacing w:after="0"/>
            </w:pPr>
            <w:r>
              <w:rPr>
                <w:sz w:val="15"/>
              </w:rPr>
              <w:t>SUPPORTED FOUNDATION / CONTACT-CENTER EFFECT GAP</w:t>
            </w:r>
          </w:p>
        </w:tc>
        <w:tc>
          <w:tcPr>
            <w:tcW w:type="dxa" w:w="3360"/>
          </w:tcPr>
          <w:p>
            <w:pPr>
              <w:spacing w:after="0"/>
            </w:pPr>
            <w:r>
              <w:rPr>
                <w:sz w:val="15"/>
              </w:rPr>
              <w:t>NIST explicitly requires incident response, recovery, override/deactivation, safe failure, monitoring, and continual improvement. Human-AI research also identifies reliance and failure-response problems. Test contact-center recovery performance rather than re-proving the general governance principle.</w:t>
            </w:r>
          </w:p>
        </w:tc>
      </w:tr>
      <w:tr>
        <w:tc>
          <w:tcPr>
            <w:tcW w:type="dxa" w:w="3360"/>
          </w:tcPr>
          <w:p>
            <w:pPr>
              <w:spacing w:after="0"/>
            </w:pPr>
            <w:r>
              <w:rPr>
                <w:sz w:val="15"/>
              </w:rPr>
              <w:t>H14 Operational Resilience</w:t>
            </w:r>
          </w:p>
        </w:tc>
        <w:tc>
          <w:tcPr>
            <w:tcW w:type="dxa" w:w="3360"/>
          </w:tcPr>
          <w:p>
            <w:pPr>
              <w:spacing w:after="0"/>
            </w:pPr>
            <w:r>
              <w:rPr>
                <w:sz w:val="15"/>
              </w:rPr>
              <w:t>SUPPORTED FOUNDATION / RESOLVECX-SPECIFIC GAP</w:t>
            </w:r>
          </w:p>
        </w:tc>
        <w:tc>
          <w:tcPr>
            <w:tcW w:type="dxa" w:w="3360"/>
          </w:tcPr>
          <w:p>
            <w:pPr>
              <w:spacing w:after="0"/>
            </w:pPr>
            <w:r>
              <w:rPr>
                <w:sz w:val="15"/>
              </w:rPr>
              <w:t>NIST defines resilience as withstanding adverse events/change and degrading safely/gracefully; human-AI literature documents manual-skill degradation and authority-transfer challenges. ResolveCX must test whether preserved human capability and fallback design improve contact-center continuity.</w:t>
            </w:r>
          </w:p>
        </w:tc>
      </w:tr>
    </w:tbl>
    <w:p>
      <w:pPr>
        <w:pStyle w:val="Heading1"/>
      </w:pPr>
      <w:r>
        <w:t>32. Failure-Recovery Construct</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Dimension</w:t>
            </w:r>
          </w:p>
        </w:tc>
        <w:tc>
          <w:tcPr>
            <w:tcW w:type="dxa" w:w="3360"/>
            <w:shd w:fill="0B3A53"/>
          </w:tcPr>
          <w:p>
            <w:r>
              <w:rPr>
                <w:b/>
                <w:color w:val="FFFFFF"/>
                <w:sz w:val="15"/>
              </w:rPr>
              <w:t>Operational question</w:t>
            </w:r>
          </w:p>
        </w:tc>
        <w:tc>
          <w:tcPr>
            <w:tcW w:type="dxa" w:w="3360"/>
            <w:shd w:fill="0B3A53"/>
          </w:tcPr>
          <w:p>
            <w:r>
              <w:rPr>
                <w:b/>
                <w:color w:val="FFFFFF"/>
                <w:sz w:val="15"/>
              </w:rPr>
              <w:t>Illustrative measure</w:t>
            </w:r>
          </w:p>
        </w:tc>
      </w:tr>
      <w:tr>
        <w:tc>
          <w:tcPr>
            <w:tcW w:type="dxa" w:w="3360"/>
          </w:tcPr>
          <w:p>
            <w:pPr>
              <w:spacing w:after="0"/>
            </w:pPr>
            <w:r>
              <w:rPr>
                <w:sz w:val="15"/>
              </w:rPr>
              <w:t>Detection</w:t>
            </w:r>
          </w:p>
        </w:tc>
        <w:tc>
          <w:tcPr>
            <w:tcW w:type="dxa" w:w="3360"/>
          </w:tcPr>
          <w:p>
            <w:pPr>
              <w:spacing w:after="0"/>
            </w:pPr>
            <w:r>
              <w:rPr>
                <w:sz w:val="15"/>
              </w:rPr>
              <w:t>How quickly and reliably is an AI error or degradation recognized?</w:t>
            </w:r>
          </w:p>
        </w:tc>
        <w:tc>
          <w:tcPr>
            <w:tcW w:type="dxa" w:w="3360"/>
          </w:tcPr>
          <w:p>
            <w:pPr>
              <w:spacing w:after="0"/>
            </w:pPr>
            <w:r>
              <w:rPr>
                <w:sz w:val="15"/>
              </w:rPr>
              <w:t>Detection rate; time to detection; missed-error rate</w:t>
            </w:r>
          </w:p>
        </w:tc>
      </w:tr>
      <w:tr>
        <w:tc>
          <w:tcPr>
            <w:tcW w:type="dxa" w:w="3360"/>
          </w:tcPr>
          <w:p>
            <w:pPr>
              <w:spacing w:after="0"/>
            </w:pPr>
            <w:r>
              <w:rPr>
                <w:sz w:val="15"/>
              </w:rPr>
              <w:t>Diagnosis</w:t>
            </w:r>
          </w:p>
        </w:tc>
        <w:tc>
          <w:tcPr>
            <w:tcW w:type="dxa" w:w="3360"/>
          </w:tcPr>
          <w:p>
            <w:pPr>
              <w:spacing w:after="0"/>
            </w:pPr>
            <w:r>
              <w:rPr>
                <w:sz w:val="15"/>
              </w:rPr>
              <w:t>Can the worker/team determine what is wrong and whether the AI remains usable?</w:t>
            </w:r>
          </w:p>
        </w:tc>
        <w:tc>
          <w:tcPr>
            <w:tcW w:type="dxa" w:w="3360"/>
          </w:tcPr>
          <w:p>
            <w:pPr>
              <w:spacing w:after="0"/>
            </w:pPr>
            <w:r>
              <w:rPr>
                <w:sz w:val="15"/>
              </w:rPr>
              <w:t>Correct diagnosis; uncertainty classification</w:t>
            </w:r>
          </w:p>
        </w:tc>
      </w:tr>
      <w:tr>
        <w:tc>
          <w:tcPr>
            <w:tcW w:type="dxa" w:w="3360"/>
          </w:tcPr>
          <w:p>
            <w:pPr>
              <w:spacing w:after="0"/>
            </w:pPr>
            <w:r>
              <w:rPr>
                <w:sz w:val="15"/>
              </w:rPr>
              <w:t>Correction</w:t>
            </w:r>
          </w:p>
        </w:tc>
        <w:tc>
          <w:tcPr>
            <w:tcW w:type="dxa" w:w="3360"/>
          </w:tcPr>
          <w:p>
            <w:pPr>
              <w:spacing w:after="0"/>
            </w:pPr>
            <w:r>
              <w:rPr>
                <w:sz w:val="15"/>
              </w:rPr>
              <w:t>Can the human correct the immediate output before harm propagates?</w:t>
            </w:r>
          </w:p>
        </w:tc>
        <w:tc>
          <w:tcPr>
            <w:tcW w:type="dxa" w:w="3360"/>
          </w:tcPr>
          <w:p>
            <w:pPr>
              <w:spacing w:after="0"/>
            </w:pPr>
            <w:r>
              <w:rPr>
                <w:sz w:val="15"/>
              </w:rPr>
              <w:t>Correction rate; rework; downstream error prevention</w:t>
            </w:r>
          </w:p>
        </w:tc>
      </w:tr>
      <w:tr>
        <w:tc>
          <w:tcPr>
            <w:tcW w:type="dxa" w:w="3360"/>
          </w:tcPr>
          <w:p>
            <w:pPr>
              <w:spacing w:after="0"/>
            </w:pPr>
            <w:r>
              <w:rPr>
                <w:sz w:val="15"/>
              </w:rPr>
              <w:t>Escalation</w:t>
            </w:r>
          </w:p>
        </w:tc>
        <w:tc>
          <w:tcPr>
            <w:tcW w:type="dxa" w:w="3360"/>
          </w:tcPr>
          <w:p>
            <w:pPr>
              <w:spacing w:after="0"/>
            </w:pPr>
            <w:r>
              <w:rPr>
                <w:sz w:val="15"/>
              </w:rPr>
              <w:t>Does the issue reach the right human/system owner with enough context?</w:t>
            </w:r>
          </w:p>
        </w:tc>
        <w:tc>
          <w:tcPr>
            <w:tcW w:type="dxa" w:w="3360"/>
          </w:tcPr>
          <w:p>
            <w:pPr>
              <w:spacing w:after="0"/>
            </w:pPr>
            <w:r>
              <w:rPr>
                <w:sz w:val="15"/>
              </w:rPr>
              <w:t>Escalation accuracy; time; completeness</w:t>
            </w:r>
          </w:p>
        </w:tc>
      </w:tr>
      <w:tr>
        <w:tc>
          <w:tcPr>
            <w:tcW w:type="dxa" w:w="3360"/>
          </w:tcPr>
          <w:p>
            <w:pPr>
              <w:spacing w:after="0"/>
            </w:pPr>
            <w:r>
              <w:rPr>
                <w:sz w:val="15"/>
              </w:rPr>
              <w:t>Containment</w:t>
            </w:r>
          </w:p>
        </w:tc>
        <w:tc>
          <w:tcPr>
            <w:tcW w:type="dxa" w:w="3360"/>
          </w:tcPr>
          <w:p>
            <w:pPr>
              <w:spacing w:after="0"/>
            </w:pPr>
            <w:r>
              <w:rPr>
                <w:sz w:val="15"/>
              </w:rPr>
              <w:t>Can the organization limit affected interactions/tasks while investigating?</w:t>
            </w:r>
          </w:p>
        </w:tc>
        <w:tc>
          <w:tcPr>
            <w:tcW w:type="dxa" w:w="3360"/>
          </w:tcPr>
          <w:p>
            <w:pPr>
              <w:spacing w:after="0"/>
            </w:pPr>
            <w:r>
              <w:rPr>
                <w:sz w:val="15"/>
              </w:rPr>
              <w:t>Affected-volume containment; stop/deactivate time</w:t>
            </w:r>
          </w:p>
        </w:tc>
      </w:tr>
      <w:tr>
        <w:tc>
          <w:tcPr>
            <w:tcW w:type="dxa" w:w="3360"/>
          </w:tcPr>
          <w:p>
            <w:pPr>
              <w:spacing w:after="0"/>
            </w:pPr>
            <w:r>
              <w:rPr>
                <w:sz w:val="15"/>
              </w:rPr>
              <w:t>Recovery</w:t>
            </w:r>
          </w:p>
        </w:tc>
        <w:tc>
          <w:tcPr>
            <w:tcW w:type="dxa" w:w="3360"/>
          </w:tcPr>
          <w:p>
            <w:pPr>
              <w:spacing w:after="0"/>
            </w:pPr>
            <w:r>
              <w:rPr>
                <w:sz w:val="15"/>
              </w:rPr>
              <w:t>Can service return safely to an acceptable operating state?</w:t>
            </w:r>
          </w:p>
        </w:tc>
        <w:tc>
          <w:tcPr>
            <w:tcW w:type="dxa" w:w="3360"/>
          </w:tcPr>
          <w:p>
            <w:pPr>
              <w:spacing w:after="0"/>
            </w:pPr>
            <w:r>
              <w:rPr>
                <w:sz w:val="15"/>
              </w:rPr>
              <w:t>Recovery time; backlog; quality during recovery</w:t>
            </w:r>
          </w:p>
        </w:tc>
      </w:tr>
      <w:tr>
        <w:tc>
          <w:tcPr>
            <w:tcW w:type="dxa" w:w="3360"/>
          </w:tcPr>
          <w:p>
            <w:pPr>
              <w:spacing w:after="0"/>
            </w:pPr>
            <w:r>
              <w:rPr>
                <w:sz w:val="15"/>
              </w:rPr>
              <w:t>Learning</w:t>
            </w:r>
          </w:p>
        </w:tc>
        <w:tc>
          <w:tcPr>
            <w:tcW w:type="dxa" w:w="3360"/>
          </w:tcPr>
          <w:p>
            <w:pPr>
              <w:spacing w:after="0"/>
            </w:pPr>
            <w:r>
              <w:rPr>
                <w:sz w:val="15"/>
              </w:rPr>
              <w:t>Are incidents converted into workflow, model, knowledge, training, or policy improvement?</w:t>
            </w:r>
          </w:p>
        </w:tc>
        <w:tc>
          <w:tcPr>
            <w:tcW w:type="dxa" w:w="3360"/>
          </w:tcPr>
          <w:p>
            <w:pPr>
              <w:spacing w:after="0"/>
            </w:pPr>
            <w:r>
              <w:rPr>
                <w:sz w:val="15"/>
              </w:rPr>
              <w:t>Repeat-incident rate; corrective-action closure</w:t>
            </w:r>
          </w:p>
        </w:tc>
      </w:tr>
    </w:tbl>
    <w:p>
      <w:pPr>
        <w:pStyle w:val="Heading1"/>
      </w:pPr>
      <w:r>
        <w:t>33. Operational Resilience / AI-Off Test</w:t>
      </w:r>
    </w:p>
    <w:p>
      <w:r>
        <w:t>Where operationally and ethically appropriate, Study #007 should include planned simulations or naturally occurring degradation/outage analysis. The purpose is not to manufacture service risk; it is to determine whether essential human and organizational capability survives AI dependence.</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Capability</w:t>
            </w:r>
          </w:p>
        </w:tc>
        <w:tc>
          <w:tcPr>
            <w:tcW w:type="dxa" w:w="5040"/>
            <w:shd w:fill="0B3A53"/>
          </w:tcPr>
          <w:p>
            <w:r>
              <w:rPr>
                <w:b/>
                <w:color w:val="FFFFFF"/>
                <w:sz w:val="15"/>
              </w:rPr>
              <w:t>Question</w:t>
            </w:r>
          </w:p>
        </w:tc>
      </w:tr>
      <w:tr>
        <w:tc>
          <w:tcPr>
            <w:tcW w:type="dxa" w:w="5040"/>
          </w:tcPr>
          <w:p>
            <w:pPr>
              <w:spacing w:after="0"/>
            </w:pPr>
            <w:r>
              <w:rPr>
                <w:sz w:val="15"/>
              </w:rPr>
              <w:t>Independent task competence</w:t>
            </w:r>
          </w:p>
        </w:tc>
        <w:tc>
          <w:tcPr>
            <w:tcW w:type="dxa" w:w="5040"/>
          </w:tcPr>
          <w:p>
            <w:pPr>
              <w:spacing w:after="0"/>
            </w:pPr>
            <w:r>
              <w:rPr>
                <w:sz w:val="15"/>
              </w:rPr>
              <w:t>Can workers complete essential work safely when AI is unavailable?</w:t>
            </w:r>
          </w:p>
        </w:tc>
      </w:tr>
      <w:tr>
        <w:tc>
          <w:tcPr>
            <w:tcW w:type="dxa" w:w="5040"/>
          </w:tcPr>
          <w:p>
            <w:pPr>
              <w:spacing w:after="0"/>
            </w:pPr>
            <w:r>
              <w:rPr>
                <w:sz w:val="15"/>
              </w:rPr>
              <w:t>Fallback workflow</w:t>
            </w:r>
          </w:p>
        </w:tc>
        <w:tc>
          <w:tcPr>
            <w:tcW w:type="dxa" w:w="5040"/>
          </w:tcPr>
          <w:p>
            <w:pPr>
              <w:spacing w:after="0"/>
            </w:pPr>
            <w:r>
              <w:rPr>
                <w:sz w:val="15"/>
              </w:rPr>
              <w:t>Is there a documented, usable alternate process?</w:t>
            </w:r>
          </w:p>
        </w:tc>
      </w:tr>
      <w:tr>
        <w:tc>
          <w:tcPr>
            <w:tcW w:type="dxa" w:w="5040"/>
          </w:tcPr>
          <w:p>
            <w:pPr>
              <w:spacing w:after="0"/>
            </w:pPr>
            <w:r>
              <w:rPr>
                <w:sz w:val="15"/>
              </w:rPr>
              <w:t>Authority transfer</w:t>
            </w:r>
          </w:p>
        </w:tc>
        <w:tc>
          <w:tcPr>
            <w:tcW w:type="dxa" w:w="5040"/>
          </w:tcPr>
          <w:p>
            <w:pPr>
              <w:spacing w:after="0"/>
            </w:pPr>
            <w:r>
              <w:rPr>
                <w:sz w:val="15"/>
              </w:rPr>
              <w:t>Is it clear when control moves from AI-supported workflow to human/manual process?</w:t>
            </w:r>
          </w:p>
        </w:tc>
      </w:tr>
      <w:tr>
        <w:tc>
          <w:tcPr>
            <w:tcW w:type="dxa" w:w="5040"/>
          </w:tcPr>
          <w:p>
            <w:pPr>
              <w:spacing w:after="0"/>
            </w:pPr>
            <w:r>
              <w:rPr>
                <w:sz w:val="15"/>
              </w:rPr>
              <w:t>Knowledge availability</w:t>
            </w:r>
          </w:p>
        </w:tc>
        <w:tc>
          <w:tcPr>
            <w:tcW w:type="dxa" w:w="5040"/>
          </w:tcPr>
          <w:p>
            <w:pPr>
              <w:spacing w:after="0"/>
            </w:pPr>
            <w:r>
              <w:rPr>
                <w:sz w:val="15"/>
              </w:rPr>
              <w:t>Can workers reach authoritative information without the AI layer?</w:t>
            </w:r>
          </w:p>
        </w:tc>
      </w:tr>
      <w:tr>
        <w:tc>
          <w:tcPr>
            <w:tcW w:type="dxa" w:w="5040"/>
          </w:tcPr>
          <w:p>
            <w:pPr>
              <w:spacing w:after="0"/>
            </w:pPr>
            <w:r>
              <w:rPr>
                <w:sz w:val="15"/>
              </w:rPr>
              <w:t>Supervisor response</w:t>
            </w:r>
          </w:p>
        </w:tc>
        <w:tc>
          <w:tcPr>
            <w:tcW w:type="dxa" w:w="5040"/>
          </w:tcPr>
          <w:p>
            <w:pPr>
              <w:spacing w:after="0"/>
            </w:pPr>
            <w:r>
              <w:rPr>
                <w:sz w:val="15"/>
              </w:rPr>
              <w:t>Can leaders prioritize, communicate, coach, and allocate work during degradation?</w:t>
            </w:r>
          </w:p>
        </w:tc>
      </w:tr>
      <w:tr>
        <w:tc>
          <w:tcPr>
            <w:tcW w:type="dxa" w:w="5040"/>
          </w:tcPr>
          <w:p>
            <w:pPr>
              <w:spacing w:after="0"/>
            </w:pPr>
            <w:r>
              <w:rPr>
                <w:sz w:val="15"/>
              </w:rPr>
              <w:t>Customer protection</w:t>
            </w:r>
          </w:p>
        </w:tc>
        <w:tc>
          <w:tcPr>
            <w:tcW w:type="dxa" w:w="5040"/>
          </w:tcPr>
          <w:p>
            <w:pPr>
              <w:spacing w:after="0"/>
            </w:pPr>
            <w:r>
              <w:rPr>
                <w:sz w:val="15"/>
              </w:rPr>
              <w:t>Can complex/vulnerable/high-impact cases be identified and routed appropriately?</w:t>
            </w:r>
          </w:p>
        </w:tc>
      </w:tr>
      <w:tr>
        <w:tc>
          <w:tcPr>
            <w:tcW w:type="dxa" w:w="5040"/>
          </w:tcPr>
          <w:p>
            <w:pPr>
              <w:spacing w:after="0"/>
            </w:pPr>
            <w:r>
              <w:rPr>
                <w:sz w:val="15"/>
              </w:rPr>
              <w:t>Recovery discipline</w:t>
            </w:r>
          </w:p>
        </w:tc>
        <w:tc>
          <w:tcPr>
            <w:tcW w:type="dxa" w:w="5040"/>
          </w:tcPr>
          <w:p>
            <w:pPr>
              <w:spacing w:after="0"/>
            </w:pPr>
            <w:r>
              <w:rPr>
                <w:sz w:val="15"/>
              </w:rPr>
              <w:t>Are backlog, quality, incidents, and return-to-service monitored after restoration?</w:t>
            </w:r>
          </w:p>
        </w:tc>
      </w:tr>
    </w:tbl>
    <w:p>
      <w:pPr>
        <w:pStyle w:val="Heading1"/>
      </w:pPr>
      <w:r>
        <w:t>34. Additional Falsification Conditions</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ID</w:t>
            </w:r>
          </w:p>
        </w:tc>
        <w:tc>
          <w:tcPr>
            <w:tcW w:type="dxa" w:w="5040"/>
            <w:shd w:fill="0B3A53"/>
          </w:tcPr>
          <w:p>
            <w:r>
              <w:rPr>
                <w:b/>
                <w:color w:val="FFFFFF"/>
                <w:sz w:val="15"/>
              </w:rPr>
              <w:t>Condition that weakens, narrows, or disproves the added thesis</w:t>
            </w:r>
          </w:p>
        </w:tc>
      </w:tr>
      <w:tr>
        <w:tc>
          <w:tcPr>
            <w:tcW w:type="dxa" w:w="5040"/>
          </w:tcPr>
          <w:p>
            <w:pPr>
              <w:spacing w:after="0"/>
            </w:pPr>
            <w:r>
              <w:rPr>
                <w:sz w:val="15"/>
              </w:rPr>
              <w:t>F15</w:t>
            </w:r>
          </w:p>
        </w:tc>
        <w:tc>
          <w:tcPr>
            <w:tcW w:type="dxa" w:w="5040"/>
          </w:tcPr>
          <w:p>
            <w:pPr>
              <w:spacing w:after="0"/>
            </w:pPr>
            <w:r>
              <w:rPr>
                <w:sz w:val="15"/>
              </w:rPr>
              <w:t>Failure-recovery capability does not predict downstream quality, customer protection, incident containment, or recovery after controlling for underlying AI accuracy and task risk.</w:t>
            </w:r>
          </w:p>
        </w:tc>
      </w:tr>
      <w:tr>
        <w:tc>
          <w:tcPr>
            <w:tcW w:type="dxa" w:w="5040"/>
          </w:tcPr>
          <w:p>
            <w:pPr>
              <w:spacing w:after="0"/>
            </w:pPr>
            <w:r>
              <w:rPr>
                <w:sz w:val="15"/>
              </w:rPr>
              <w:t>F16</w:t>
            </w:r>
          </w:p>
        </w:tc>
        <w:tc>
          <w:tcPr>
            <w:tcW w:type="dxa" w:w="5040"/>
          </w:tcPr>
          <w:p>
            <w:pPr>
              <w:spacing w:after="0"/>
            </w:pPr>
            <w:r>
              <w:rPr>
                <w:sz w:val="15"/>
              </w:rPr>
              <w:t>Preserving non-AI capability and fallback workflows adds no meaningful resilience during real or simulated AI degradation.</w:t>
            </w:r>
          </w:p>
        </w:tc>
      </w:tr>
      <w:tr>
        <w:tc>
          <w:tcPr>
            <w:tcW w:type="dxa" w:w="5040"/>
          </w:tcPr>
          <w:p>
            <w:pPr>
              <w:spacing w:after="0"/>
            </w:pPr>
            <w:r>
              <w:rPr>
                <w:sz w:val="15"/>
              </w:rPr>
              <w:t>F17</w:t>
            </w:r>
          </w:p>
        </w:tc>
        <w:tc>
          <w:tcPr>
            <w:tcW w:type="dxa" w:w="5040"/>
          </w:tcPr>
          <w:p>
            <w:pPr>
              <w:spacing w:after="0"/>
            </w:pPr>
            <w:r>
              <w:rPr>
                <w:sz w:val="15"/>
              </w:rPr>
              <w:t>Failure-recovery measures cannot be distinguished from ordinary quality assurance, incident management, or general employee competence.</w:t>
            </w:r>
          </w:p>
        </w:tc>
      </w:tr>
      <w:tr>
        <w:tc>
          <w:tcPr>
            <w:tcW w:type="dxa" w:w="5040"/>
          </w:tcPr>
          <w:p>
            <w:pPr>
              <w:spacing w:after="0"/>
            </w:pPr>
            <w:r>
              <w:rPr>
                <w:sz w:val="15"/>
              </w:rPr>
              <w:t>F18</w:t>
            </w:r>
          </w:p>
        </w:tc>
        <w:tc>
          <w:tcPr>
            <w:tcW w:type="dxa" w:w="5040"/>
          </w:tcPr>
          <w:p>
            <w:pPr>
              <w:spacing w:after="0"/>
            </w:pPr>
            <w:r>
              <w:rPr>
                <w:sz w:val="15"/>
              </w:rPr>
              <w:t>The cost and operational burden of resilience controls exceed their measurable value for low-risk use cases, requiring a risk-tiered rather than universal requirement.</w:t>
            </w:r>
          </w:p>
        </w:tc>
      </w:tr>
    </w:tbl>
    <w:p>
      <w:pPr>
        <w:pStyle w:val="Heading1"/>
      </w:pPr>
      <w:r>
        <w:t>35. Outcome Architecture Additions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Outcome family</w:t>
            </w:r>
          </w:p>
        </w:tc>
        <w:tc>
          <w:tcPr>
            <w:tcW w:type="dxa" w:w="3360"/>
            <w:shd w:fill="0B3A53"/>
          </w:tcPr>
          <w:p>
            <w:r>
              <w:rPr>
                <w:b/>
                <w:color w:val="FFFFFF"/>
                <w:sz w:val="15"/>
              </w:rPr>
              <w:t>Added measures</w:t>
            </w:r>
          </w:p>
        </w:tc>
        <w:tc>
          <w:tcPr>
            <w:tcW w:type="dxa" w:w="3360"/>
            <w:shd w:fill="0B3A53"/>
          </w:tcPr>
          <w:p>
            <w:r>
              <w:rPr>
                <w:b/>
                <w:color w:val="FFFFFF"/>
                <w:sz w:val="15"/>
              </w:rPr>
              <w:t>Interpretation safeguard</w:t>
            </w:r>
          </w:p>
        </w:tc>
      </w:tr>
      <w:tr>
        <w:tc>
          <w:tcPr>
            <w:tcW w:type="dxa" w:w="3360"/>
          </w:tcPr>
          <w:p>
            <w:pPr>
              <w:spacing w:after="0"/>
            </w:pPr>
            <w:r>
              <w:rPr>
                <w:sz w:val="15"/>
              </w:rPr>
              <w:t>Failure recovery</w:t>
            </w:r>
          </w:p>
        </w:tc>
        <w:tc>
          <w:tcPr>
            <w:tcW w:type="dxa" w:w="3360"/>
          </w:tcPr>
          <w:p>
            <w:pPr>
              <w:spacing w:after="0"/>
            </w:pPr>
            <w:r>
              <w:rPr>
                <w:sz w:val="15"/>
              </w:rPr>
              <w:t>Detection, correction, containment, escalation, recovery time, repeat incidents</w:t>
            </w:r>
          </w:p>
        </w:tc>
        <w:tc>
          <w:tcPr>
            <w:tcW w:type="dxa" w:w="3360"/>
          </w:tcPr>
          <w:p>
            <w:pPr>
              <w:spacing w:after="0"/>
            </w:pPr>
            <w:r>
              <w:rPr>
                <w:sz w:val="15"/>
              </w:rPr>
              <w:t>Raw model accuracy is not sufficient</w:t>
            </w:r>
          </w:p>
        </w:tc>
      </w:tr>
      <w:tr>
        <w:tc>
          <w:tcPr>
            <w:tcW w:type="dxa" w:w="3360"/>
          </w:tcPr>
          <w:p>
            <w:pPr>
              <w:spacing w:after="0"/>
            </w:pPr>
            <w:r>
              <w:rPr>
                <w:sz w:val="15"/>
              </w:rPr>
              <w:t>Operational resilience</w:t>
            </w:r>
          </w:p>
        </w:tc>
        <w:tc>
          <w:tcPr>
            <w:tcW w:type="dxa" w:w="3360"/>
          </w:tcPr>
          <w:p>
            <w:pPr>
              <w:spacing w:after="0"/>
            </w:pPr>
            <w:r>
              <w:rPr>
                <w:sz w:val="15"/>
              </w:rPr>
              <w:t>AI-off performance, fallback usability, backlog, quality under degradation, restoration recovery</w:t>
            </w:r>
          </w:p>
        </w:tc>
        <w:tc>
          <w:tcPr>
            <w:tcW w:type="dxa" w:w="3360"/>
          </w:tcPr>
          <w:p>
            <w:pPr>
              <w:spacing w:after="0"/>
            </w:pPr>
            <w:r>
              <w:rPr>
                <w:sz w:val="15"/>
              </w:rPr>
              <w:t>Do not create unsafe outages for research</w:t>
            </w:r>
          </w:p>
        </w:tc>
      </w:tr>
      <w:tr>
        <w:tc>
          <w:tcPr>
            <w:tcW w:type="dxa" w:w="3360"/>
          </w:tcPr>
          <w:p>
            <w:pPr>
              <w:spacing w:after="0"/>
            </w:pPr>
            <w:r>
              <w:rPr>
                <w:sz w:val="15"/>
              </w:rPr>
              <w:t>Authority transfer</w:t>
            </w:r>
          </w:p>
        </w:tc>
        <w:tc>
          <w:tcPr>
            <w:tcW w:type="dxa" w:w="3360"/>
          </w:tcPr>
          <w:p>
            <w:pPr>
              <w:spacing w:after="0"/>
            </w:pPr>
            <w:r>
              <w:rPr>
                <w:sz w:val="15"/>
              </w:rPr>
              <w:t>Recognition of degraded mode; correct handoff; override/deactivation behavior</w:t>
            </w:r>
          </w:p>
        </w:tc>
        <w:tc>
          <w:tcPr>
            <w:tcW w:type="dxa" w:w="3360"/>
          </w:tcPr>
          <w:p>
            <w:pPr>
              <w:spacing w:after="0"/>
            </w:pPr>
            <w:r>
              <w:rPr>
                <w:sz w:val="15"/>
              </w:rPr>
              <w:t>Formal authority without usable workflow is insufficient</w:t>
            </w:r>
          </w:p>
        </w:tc>
      </w:tr>
      <w:tr>
        <w:tc>
          <w:tcPr>
            <w:tcW w:type="dxa" w:w="3360"/>
          </w:tcPr>
          <w:p>
            <w:pPr>
              <w:spacing w:after="0"/>
            </w:pPr>
            <w:r>
              <w:rPr>
                <w:sz w:val="15"/>
              </w:rPr>
              <w:t>Organizational learning</w:t>
            </w:r>
          </w:p>
        </w:tc>
        <w:tc>
          <w:tcPr>
            <w:tcW w:type="dxa" w:w="3360"/>
          </w:tcPr>
          <w:p>
            <w:pPr>
              <w:spacing w:after="0"/>
            </w:pPr>
            <w:r>
              <w:rPr>
                <w:sz w:val="15"/>
              </w:rPr>
              <w:t>Incident review, corrective action, knowledge/model/workflow updates</w:t>
            </w:r>
          </w:p>
        </w:tc>
        <w:tc>
          <w:tcPr>
            <w:tcW w:type="dxa" w:w="3360"/>
          </w:tcPr>
          <w:p>
            <w:pPr>
              <w:spacing w:after="0"/>
            </w:pPr>
            <w:r>
              <w:rPr>
                <w:sz w:val="15"/>
              </w:rPr>
              <w:t>Incident logging alone is not learning</w:t>
            </w:r>
          </w:p>
        </w:tc>
      </w:tr>
    </w:tbl>
    <w:p>
      <w:pPr>
        <w:pStyle w:val="Heading1"/>
      </w:pPr>
      <w:r>
        <w:t>36. Explicit Cross-Study Integration</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Related study</w:t>
            </w:r>
          </w:p>
        </w:tc>
        <w:tc>
          <w:tcPr>
            <w:tcW w:type="dxa" w:w="3360"/>
            <w:shd w:fill="0B3A53"/>
          </w:tcPr>
          <w:p>
            <w:r>
              <w:rPr>
                <w:b/>
                <w:color w:val="FFFFFF"/>
                <w:sz w:val="15"/>
              </w:rPr>
              <w:t>Dependency / interaction to test</w:t>
            </w:r>
          </w:p>
        </w:tc>
        <w:tc>
          <w:tcPr>
            <w:tcW w:type="dxa" w:w="3360"/>
            <w:shd w:fill="0B3A53"/>
          </w:tcPr>
          <w:p>
            <w:r>
              <w:rPr>
                <w:b/>
                <w:color w:val="FFFFFF"/>
                <w:sz w:val="15"/>
              </w:rPr>
              <w:t>Why it matters for Study #007</w:t>
            </w:r>
          </w:p>
        </w:tc>
      </w:tr>
      <w:tr>
        <w:tc>
          <w:tcPr>
            <w:tcW w:type="dxa" w:w="3360"/>
          </w:tcPr>
          <w:p>
            <w:pPr>
              <w:spacing w:after="0"/>
            </w:pPr>
            <w:r>
              <w:rPr>
                <w:sz w:val="15"/>
              </w:rPr>
              <w:t>#003 KPI &amp; Business Literacy</w:t>
            </w:r>
          </w:p>
        </w:tc>
        <w:tc>
          <w:tcPr>
            <w:tcW w:type="dxa" w:w="3360"/>
          </w:tcPr>
          <w:p>
            <w:pPr>
              <w:spacing w:after="0"/>
            </w:pPr>
            <w:r>
              <w:rPr>
                <w:sz w:val="15"/>
              </w:rPr>
              <w:t>Can workers and supervisors understand what an AI recommendation or optimization is trying to improve, what they can influence, and which metric tradeoffs may be hidden?</w:t>
            </w:r>
          </w:p>
        </w:tc>
        <w:tc>
          <w:tcPr>
            <w:tcW w:type="dxa" w:w="3360"/>
          </w:tcPr>
          <w:p>
            <w:pPr>
              <w:spacing w:after="0"/>
            </w:pPr>
            <w:r>
              <w:rPr>
                <w:sz w:val="15"/>
              </w:rPr>
              <w:t>AI-supported judgment is weaker if users cannot interpret the operating system or optimization target.</w:t>
            </w:r>
          </w:p>
        </w:tc>
      </w:tr>
      <w:tr>
        <w:tc>
          <w:tcPr>
            <w:tcW w:type="dxa" w:w="3360"/>
          </w:tcPr>
          <w:p>
            <w:pPr>
              <w:spacing w:after="0"/>
            </w:pPr>
            <w:r>
              <w:rPr>
                <w:sz w:val="15"/>
              </w:rPr>
              <w:t>#004 Supervisor Effect</w:t>
            </w:r>
          </w:p>
        </w:tc>
        <w:tc>
          <w:tcPr>
            <w:tcW w:type="dxa" w:w="3360"/>
          </w:tcPr>
          <w:p>
            <w:pPr>
              <w:spacing w:after="0"/>
            </w:pPr>
            <w:r>
              <w:rPr>
                <w:sz w:val="15"/>
              </w:rPr>
              <w:t>Do supervisors coach verification, escalation, learning, and judgment—or simply enforce adoption/usage?</w:t>
            </w:r>
          </w:p>
        </w:tc>
        <w:tc>
          <w:tcPr>
            <w:tcW w:type="dxa" w:w="3360"/>
          </w:tcPr>
          <w:p>
            <w:pPr>
              <w:spacing w:after="0"/>
            </w:pPr>
            <w:r>
              <w:rPr>
                <w:sz w:val="15"/>
              </w:rPr>
              <w:t>Leadership can convert AI into developmental augmentation or into compliance pressure.</w:t>
            </w:r>
          </w:p>
        </w:tc>
      </w:tr>
      <w:tr>
        <w:tc>
          <w:tcPr>
            <w:tcW w:type="dxa" w:w="3360"/>
          </w:tcPr>
          <w:p>
            <w:pPr>
              <w:spacing w:after="0"/>
            </w:pPr>
            <w:r>
              <w:rPr>
                <w:sz w:val="15"/>
              </w:rPr>
              <w:t>#005 Change Readiness</w:t>
            </w:r>
          </w:p>
        </w:tc>
        <w:tc>
          <w:tcPr>
            <w:tcW w:type="dxa" w:w="3360"/>
          </w:tcPr>
          <w:p>
            <w:pPr>
              <w:spacing w:after="0"/>
            </w:pPr>
            <w:r>
              <w:rPr>
                <w:sz w:val="15"/>
              </w:rPr>
              <w:t>Does the organization have learning time, staffing headroom, stable technology, implementation resources, and supervisor bandwidth to absorb AI?</w:t>
            </w:r>
          </w:p>
        </w:tc>
        <w:tc>
          <w:tcPr>
            <w:tcW w:type="dxa" w:w="3360"/>
          </w:tcPr>
          <w:p>
            <w:pPr>
              <w:spacing w:after="0"/>
            </w:pPr>
            <w:r>
              <w:rPr>
                <w:sz w:val="15"/>
              </w:rPr>
              <w:t>Poor change capacity may be misdiagnosed as worker resistance or AI failure.</w:t>
            </w:r>
          </w:p>
        </w:tc>
      </w:tr>
      <w:tr>
        <w:tc>
          <w:tcPr>
            <w:tcW w:type="dxa" w:w="3360"/>
          </w:tcPr>
          <w:p>
            <w:pPr>
              <w:spacing w:after="0"/>
            </w:pPr>
            <w:r>
              <w:rPr>
                <w:sz w:val="15"/>
              </w:rPr>
              <w:t>#001 New-Hire Survival</w:t>
            </w:r>
          </w:p>
        </w:tc>
        <w:tc>
          <w:tcPr>
            <w:tcW w:type="dxa" w:w="3360"/>
          </w:tcPr>
          <w:p>
            <w:pPr>
              <w:spacing w:after="0"/>
            </w:pPr>
            <w:r>
              <w:rPr>
                <w:sz w:val="15"/>
              </w:rPr>
              <w:t>Does AI compress the experience curve while preserving independent competence and realistic production preparation?</w:t>
            </w:r>
          </w:p>
        </w:tc>
        <w:tc>
          <w:tcPr>
            <w:tcW w:type="dxa" w:w="3360"/>
          </w:tcPr>
          <w:p>
            <w:pPr>
              <w:spacing w:after="0"/>
            </w:pPr>
            <w:r>
              <w:rPr>
                <w:sz w:val="15"/>
              </w:rPr>
              <w:t>Short-term novice gains must not conceal dependency or later failure.</w:t>
            </w:r>
          </w:p>
        </w:tc>
      </w:tr>
      <w:tr>
        <w:tc>
          <w:tcPr>
            <w:tcW w:type="dxa" w:w="3360"/>
          </w:tcPr>
          <w:p>
            <w:pPr>
              <w:spacing w:after="0"/>
            </w:pPr>
            <w:r>
              <w:rPr>
                <w:sz w:val="15"/>
              </w:rPr>
              <w:t>#002 Job Reality Gap</w:t>
            </w:r>
          </w:p>
        </w:tc>
        <w:tc>
          <w:tcPr>
            <w:tcW w:type="dxa" w:w="3360"/>
          </w:tcPr>
          <w:p>
            <w:pPr>
              <w:spacing w:after="0"/>
            </w:pPr>
            <w:r>
              <w:rPr>
                <w:sz w:val="15"/>
              </w:rPr>
              <w:t>Are candidates/new hires accurately told how AI, monitoring, autonomy, and human accountability shape the job?</w:t>
            </w:r>
          </w:p>
        </w:tc>
        <w:tc>
          <w:tcPr>
            <w:tcW w:type="dxa" w:w="3360"/>
          </w:tcPr>
          <w:p>
            <w:pPr>
              <w:spacing w:after="0"/>
            </w:pPr>
            <w:r>
              <w:rPr>
                <w:sz w:val="15"/>
              </w:rPr>
              <w:t>AI can materially alter the reality of frontline work.</w:t>
            </w:r>
          </w:p>
        </w:tc>
      </w:tr>
      <w:tr>
        <w:tc>
          <w:tcPr>
            <w:tcW w:type="dxa" w:w="3360"/>
          </w:tcPr>
          <w:p>
            <w:pPr>
              <w:spacing w:after="0"/>
            </w:pPr>
            <w:r>
              <w:rPr>
                <w:sz w:val="15"/>
              </w:rPr>
              <w:t>#006 Career Pathway</w:t>
            </w:r>
          </w:p>
        </w:tc>
        <w:tc>
          <w:tcPr>
            <w:tcW w:type="dxa" w:w="3360"/>
          </w:tcPr>
          <w:p>
            <w:pPr>
              <w:spacing w:after="0"/>
            </w:pPr>
            <w:r>
              <w:rPr>
                <w:sz w:val="15"/>
              </w:rPr>
              <w:t>Does AI exposure build portable capability and mobility or narrow work into supervised exception handling?</w:t>
            </w:r>
          </w:p>
        </w:tc>
        <w:tc>
          <w:tcPr>
            <w:tcW w:type="dxa" w:w="3360"/>
          </w:tcPr>
          <w:p>
            <w:pPr>
              <w:spacing w:after="0"/>
            </w:pPr>
            <w:r>
              <w:rPr>
                <w:sz w:val="15"/>
              </w:rPr>
              <w:t>AI value must include long-term human employability where relevant.</w:t>
            </w:r>
          </w:p>
        </w:tc>
      </w:tr>
    </w:tbl>
    <w:p>
      <w:r>
        <w:t>Portfolio proposition to test: AI readiness is not a standalone employee competency. It is expected to depend partly on operational literacy, supervisor quality, and organizational change capacity. These relationships must be tested rather than assumed, and Study #007 should reuse validated constructs/data from related studies when possible instead of duplicating measurement.</w:t>
      </w:r>
    </w:p>
    <w:p>
      <w:pPr>
        <w:pStyle w:val="Heading1"/>
      </w:pPr>
      <w:r>
        <w:t>37. Updated Research Quality and Release Standards</w:t>
      </w:r>
    </w:p>
    <w:p>
      <w:pPr>
        <w:pStyle w:val="ListBullet"/>
        <w:spacing w:after="20"/>
      </w:pPr>
      <w:r>
        <w:t>Routine performance and model accuracy must be paired with failure-response evidence when the use case carries meaningful operational or customer risk.</w:t>
      </w:r>
    </w:p>
    <w:p>
      <w:pPr>
        <w:pStyle w:val="ListBullet"/>
        <w:spacing w:after="20"/>
      </w:pPr>
      <w:r>
        <w:t>Human capability must be assessed both with AI assistance and, where decision-relevant and safe, without it.</w:t>
      </w:r>
    </w:p>
    <w:p>
      <w:pPr>
        <w:pStyle w:val="ListBullet"/>
        <w:spacing w:after="20"/>
      </w:pPr>
      <w:r>
        <w:t>Fallback and resilience requirements should be proportional to use-case risk; low-risk assistance should not inherit controls without evidence of value.</w:t>
      </w:r>
    </w:p>
    <w:p>
      <w:pPr>
        <w:pStyle w:val="ListBullet"/>
        <w:spacing w:after="20"/>
      </w:pPr>
      <w:r>
        <w:t>Overrides, corrections, and escalations may represent successful human judgment and must not automatically be coded as adoption failure.</w:t>
      </w:r>
    </w:p>
    <w:p>
      <w:pPr>
        <w:pStyle w:val="ListBullet"/>
        <w:spacing w:after="20"/>
      </w:pPr>
      <w:r>
        <w:t>Cross-study constructs should be reused where validated; Study #007 should not create duplicate measures merely to appear self-contained.</w:t>
      </w:r>
    </w:p>
    <w:p>
      <w:pPr>
        <w:pStyle w:val="ListBullet"/>
        <w:spacing w:after="20"/>
      </w:pPr>
      <w:r>
        <w:t>Any claim that AI releases capacity must identify where the released capacity went and what happened to workload, quality, learning, customers, and staffing.</w:t>
      </w:r>
    </w:p>
    <w:p>
      <w:pPr>
        <w:pStyle w:val="ListBullet"/>
        <w:spacing w:after="20"/>
      </w:pPr>
      <w:r>
        <w:t>Any ResolveCX AI-readiness intervention remains unproven until directly compared against a credible alternative or standard practice.</w:t>
      </w:r>
    </w:p>
    <w:p>
      <w:pPr>
        <w:pStyle w:val="Heading1"/>
      </w:pPr>
      <w:r>
        <w:t>38. Evidence Addendum</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Source</w:t>
            </w:r>
          </w:p>
        </w:tc>
        <w:tc>
          <w:tcPr>
            <w:tcW w:type="dxa" w:w="3360"/>
            <w:shd w:fill="0B3A53"/>
          </w:tcPr>
          <w:p>
            <w:r>
              <w:rPr>
                <w:b/>
                <w:color w:val="FFFFFF"/>
                <w:sz w:val="15"/>
              </w:rPr>
              <w:t>Evidence role</w:t>
            </w:r>
          </w:p>
        </w:tc>
        <w:tc>
          <w:tcPr>
            <w:tcW w:type="dxa" w:w="3360"/>
            <w:shd w:fill="0B3A53"/>
          </w:tcPr>
          <w:p>
            <w:r>
              <w:rPr>
                <w:b/>
                <w:color w:val="FFFFFF"/>
                <w:sz w:val="15"/>
              </w:rPr>
              <w:t>Protocol implication</w:t>
            </w:r>
          </w:p>
        </w:tc>
      </w:tr>
      <w:tr>
        <w:tc>
          <w:tcPr>
            <w:tcW w:type="dxa" w:w="3360"/>
          </w:tcPr>
          <w:p>
            <w:pPr>
              <w:spacing w:after="0"/>
            </w:pPr>
            <w:r>
              <w:rPr>
                <w:sz w:val="15"/>
              </w:rPr>
              <w:t>NIST AI RMF 1.0 / AI RMF Core</w:t>
            </w:r>
          </w:p>
        </w:tc>
        <w:tc>
          <w:tcPr>
            <w:tcW w:type="dxa" w:w="3360"/>
          </w:tcPr>
          <w:p>
            <w:pPr>
              <w:spacing w:after="0"/>
            </w:pPr>
            <w:r>
              <w:rPr>
                <w:sz w:val="15"/>
              </w:rPr>
              <w:t>Authoritative governance framework</w:t>
            </w:r>
          </w:p>
        </w:tc>
        <w:tc>
          <w:tcPr>
            <w:tcW w:type="dxa" w:w="3360"/>
          </w:tcPr>
          <w:p>
            <w:pPr>
              <w:spacing w:after="0"/>
            </w:pPr>
            <w:r>
              <w:rPr>
                <w:sz w:val="15"/>
              </w:rPr>
              <w:t>Supports safe failure, resilience, human oversight, incident response/recovery, override/deactivation, contingency planning, and continual improvement as explicit system requirements.</w:t>
            </w:r>
          </w:p>
        </w:tc>
      </w:tr>
      <w:tr>
        <w:tc>
          <w:tcPr>
            <w:tcW w:type="dxa" w:w="3360"/>
          </w:tcPr>
          <w:p>
            <w:pPr>
              <w:spacing w:after="0"/>
            </w:pPr>
            <w:r>
              <w:rPr>
                <w:sz w:val="15"/>
              </w:rPr>
              <w:t>National Academies, Human-AI Teaming: State-of-the-Art and Research Needs</w:t>
            </w:r>
          </w:p>
        </w:tc>
        <w:tc>
          <w:tcPr>
            <w:tcW w:type="dxa" w:w="3360"/>
          </w:tcPr>
          <w:p>
            <w:pPr>
              <w:spacing w:after="0"/>
            </w:pPr>
            <w:r>
              <w:rPr>
                <w:sz w:val="15"/>
              </w:rPr>
              <w:t>Research synthesis</w:t>
            </w:r>
          </w:p>
        </w:tc>
        <w:tc>
          <w:tcPr>
            <w:tcW w:type="dxa" w:w="3360"/>
          </w:tcPr>
          <w:p>
            <w:pPr>
              <w:spacing w:after="0"/>
            </w:pPr>
            <w:r>
              <w:rPr>
                <w:sz w:val="15"/>
              </w:rPr>
              <w:t>Documents human monitoring limitations, situation-awareness challenges, intervention deficits, bias, and degradation of manual skills under automation.</w:t>
            </w:r>
          </w:p>
        </w:tc>
      </w:tr>
      <w:tr>
        <w:tc>
          <w:tcPr>
            <w:tcW w:type="dxa" w:w="3360"/>
          </w:tcPr>
          <w:p>
            <w:pPr>
              <w:spacing w:after="0"/>
            </w:pPr>
            <w:r>
              <w:rPr>
                <w:sz w:val="15"/>
              </w:rPr>
              <w:t>Human-AI Collaboration Across Decision Support, Autonomous Systems, and LLM Agents (2026)</w:t>
            </w:r>
          </w:p>
        </w:tc>
        <w:tc>
          <w:tcPr>
            <w:tcW w:type="dxa" w:w="3360"/>
          </w:tcPr>
          <w:p>
            <w:pPr>
              <w:spacing w:after="0"/>
            </w:pPr>
            <w:r>
              <w:rPr>
                <w:sz w:val="15"/>
              </w:rPr>
              <w:t>Systematic review; 152 papers</w:t>
            </w:r>
          </w:p>
        </w:tc>
        <w:tc>
          <w:tcPr>
            <w:tcW w:type="dxa" w:w="3360"/>
          </w:tcPr>
          <w:p>
            <w:pPr>
              <w:spacing w:after="0"/>
            </w:pPr>
            <w:r>
              <w:rPr>
                <w:sz w:val="15"/>
              </w:rPr>
              <w:t>Identifies recurring trust calibration, reliance, cognitive engagement, skill retention, accountability and transparency challenges; highlights failure-response capability and authority-transfer problems.</w:t>
            </w:r>
          </w:p>
        </w:tc>
      </w:tr>
      <w:tr>
        <w:tc>
          <w:tcPr>
            <w:tcW w:type="dxa" w:w="3360"/>
          </w:tcPr>
          <w:p>
            <w:pPr>
              <w:spacing w:after="0"/>
            </w:pPr>
            <w:r>
              <w:rPr>
                <w:sz w:val="15"/>
              </w:rPr>
              <w:t>Appropriate Reliance on Generative AI: Research Synthesis (Microsoft Research, 2024)</w:t>
            </w:r>
          </w:p>
        </w:tc>
        <w:tc>
          <w:tcPr>
            <w:tcW w:type="dxa" w:w="3360"/>
          </w:tcPr>
          <w:p>
            <w:pPr>
              <w:spacing w:after="0"/>
            </w:pPr>
            <w:r>
              <w:rPr>
                <w:sz w:val="15"/>
              </w:rPr>
              <w:t>Research synthesis of ~50 papers</w:t>
            </w:r>
          </w:p>
        </w:tc>
        <w:tc>
          <w:tcPr>
            <w:tcW w:type="dxa" w:w="3360"/>
          </w:tcPr>
          <w:p>
            <w:pPr>
              <w:spacing w:after="0"/>
            </w:pPr>
            <w:r>
              <w:rPr>
                <w:sz w:val="15"/>
              </w:rPr>
              <w:t>Supports distinguishing appropriate reliance from over- and under-reliance; reinforces measuring acceptance of correct outputs and rejection of incorrect outputs.</w:t>
            </w:r>
          </w:p>
        </w:tc>
      </w:tr>
    </w:tbl>
    <w:p>
      <w:pPr>
        <w:pStyle w:val="Heading1"/>
      </w:pPr>
      <w:r>
        <w:t>39. v1.1 Protocol Decision</w:t>
      </w:r>
    </w:p>
    <w:p>
      <w:r>
        <w:t>With H13 and H14, Study #007 now evaluates not only whether AI improves routine work, but whether the human-AI system can recognize failure, preserve human authority and competence, recover safely, and remain operational when AI is degraded. The protocol is approved for introduction as Ongoing Research. No further redesign is required before evidence expansion unless new evidence exposes a material methodological flaw.</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v1.1  •  Ongoing Research  •  Evidence-First Design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1"/>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