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#008: The Economics of Readiness Study</w:t>
      </w:r>
    </w:p>
    <w:p>
      <w:pPr>
        <w:jc w:val="center"/>
      </w:pPr>
      <w:r>
        <w:rPr>
          <w:i/>
          <w:sz w:val="26"/>
        </w:rPr>
        <w:t>When does investing in frontline readiness create measurable economic value—and for whom?</w:t>
      </w:r>
    </w:p>
    <w:p>
      <w:pPr>
        <w:jc w:val="center"/>
      </w:pPr>
      <w:r>
        <w:rPr>
          <w:b/>
          <w:color w:val="B77311"/>
        </w:rPr>
        <w:t>Research Status: Ongoing</w:t>
      </w:r>
    </w:p>
    <w:p>
      <w:r>
        <w:t>Study #008 is the economic synthesis study in the ResolveCX research program. It examines whether investments in frontline readiness create incremental value for employers, workers, workforce-development organizations, community colleges, customers, and—where relevant—the public. It does not assume that readiness produces positive ROI, that every benefit can be monetized, or that employer savings and participant economic mobility are interchangeable.</w:t>
      </w:r>
    </w:p>
    <w:p>
      <w:pPr>
        <w:pStyle w:val="Heading1"/>
      </w:pPr>
      <w:r>
        <w:t>1. Research Integrity Statement</w:t>
      </w:r>
    </w:p>
    <w:p>
      <w:r>
        <w:t>ResolveCX will not manufacture an ROI by multiplying weak assumptions. Economic claims must be tied to observed or defensibly estimated incremental outcomes relative to a credible counterfactual. Costs will be counted comprehensively; benefits will not be double-counted; uncertainty will be visible; stakeholder gains and losses will be separated; and negative, zero, delayed, or highly conditional returns will be reported with the same transparency as positive returns.</w:t>
      </w:r>
    </w:p>
    <w:p>
      <w:pPr>
        <w:pStyle w:val="Heading1"/>
      </w:pPr>
      <w:r>
        <w:t>2. Central Research Question</w:t>
      </w:r>
    </w:p>
    <w:p>
      <w:r>
        <w:rPr>
          <w:b/>
        </w:rPr>
        <w:t>Relative to credible existing alternatives, under what conditions do investments in frontline contact-center readiness produce positive net economic value through improved hiring fit, training completion, time-to-proficiency, retention, performance, customer outcomes, mobility, earnings, capacity, and reduced avoidable failure—and how are those costs and benefits distributed across employers, workers, education/workforce partners, customers, and the public?</w:t>
      </w:r>
    </w:p>
    <w:p>
      <w:r>
        <w:t>Secondary questions include which value streams are largest, which are merely transfers between stakeholders, how long benefits take to exceed costs, how sensitive ROI is to uncertain assumptions, which organizations can capture enough value to become economic buyers, and when ResolveCX would not be worth purchasing or funding.</w:t>
      </w:r>
    </w:p>
    <w:p>
      <w:pPr>
        <w:pStyle w:val="Heading1"/>
      </w:pPr>
      <w:r>
        <w:t>3. Position in the ResolveCX Research Program</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Study</w:t>
            </w:r>
          </w:p>
        </w:tc>
        <w:tc>
          <w:tcPr>
            <w:tcW w:type="dxa" w:w="5040"/>
            <w:shd w:fill="0B3A53"/>
          </w:tcPr>
          <w:p>
            <w:r>
              <w:rPr>
                <w:b/>
                <w:color w:val="FFFFFF"/>
                <w:sz w:val="15"/>
              </w:rPr>
              <w:t>Primary contribution to #008</w:t>
            </w:r>
          </w:p>
        </w:tc>
      </w:tr>
      <w:tr>
        <w:tc>
          <w:tcPr>
            <w:tcW w:type="dxa" w:w="5040"/>
          </w:tcPr>
          <w:p>
            <w:pPr>
              <w:spacing w:after="0"/>
            </w:pPr>
            <w:r>
              <w:rPr>
                <w:sz w:val="15"/>
              </w:rPr>
              <w:t>#001 New-Hire Survival</w:t>
            </w:r>
          </w:p>
        </w:tc>
        <w:tc>
          <w:tcPr>
            <w:tcW w:type="dxa" w:w="5040"/>
          </w:tcPr>
          <w:p>
            <w:pPr>
              <w:spacing w:after="0"/>
            </w:pPr>
            <w:r>
              <w:rPr>
                <w:sz w:val="15"/>
              </w:rPr>
              <w:t>Attrition, survival, training completion, proficiency timing</w:t>
            </w:r>
          </w:p>
        </w:tc>
      </w:tr>
      <w:tr>
        <w:tc>
          <w:tcPr>
            <w:tcW w:type="dxa" w:w="5040"/>
          </w:tcPr>
          <w:p>
            <w:pPr>
              <w:spacing w:after="0"/>
            </w:pPr>
            <w:r>
              <w:rPr>
                <w:sz w:val="15"/>
              </w:rPr>
              <w:t>#002 Job Reality Gap</w:t>
            </w:r>
          </w:p>
        </w:tc>
        <w:tc>
          <w:tcPr>
            <w:tcW w:type="dxa" w:w="5040"/>
          </w:tcPr>
          <w:p>
            <w:pPr>
              <w:spacing w:after="0"/>
            </w:pPr>
            <w:r>
              <w:rPr>
                <w:sz w:val="15"/>
              </w:rPr>
              <w:t>Avoidable mismatch, withdrawal, expectation-related failure</w:t>
            </w:r>
          </w:p>
        </w:tc>
      </w:tr>
      <w:tr>
        <w:tc>
          <w:tcPr>
            <w:tcW w:type="dxa" w:w="5040"/>
          </w:tcPr>
          <w:p>
            <w:pPr>
              <w:spacing w:after="0"/>
            </w:pPr>
            <w:r>
              <w:rPr>
                <w:sz w:val="15"/>
              </w:rPr>
              <w:t>#003 KPI &amp; Business Literacy</w:t>
            </w:r>
          </w:p>
        </w:tc>
        <w:tc>
          <w:tcPr>
            <w:tcW w:type="dxa" w:w="5040"/>
          </w:tcPr>
          <w:p>
            <w:pPr>
              <w:spacing w:after="0"/>
            </w:pPr>
            <w:r>
              <w:rPr>
                <w:sz w:val="15"/>
              </w:rPr>
              <w:t>Judgment, performance, operational understanding</w:t>
            </w:r>
          </w:p>
        </w:tc>
      </w:tr>
      <w:tr>
        <w:tc>
          <w:tcPr>
            <w:tcW w:type="dxa" w:w="5040"/>
          </w:tcPr>
          <w:p>
            <w:pPr>
              <w:spacing w:after="0"/>
            </w:pPr>
            <w:r>
              <w:rPr>
                <w:sz w:val="15"/>
              </w:rPr>
              <w:t>#004 Supervisor Effect</w:t>
            </w:r>
          </w:p>
        </w:tc>
        <w:tc>
          <w:tcPr>
            <w:tcW w:type="dxa" w:w="5040"/>
          </w:tcPr>
          <w:p>
            <w:pPr>
              <w:spacing w:after="0"/>
            </w:pPr>
            <w:r>
              <w:rPr>
                <w:sz w:val="15"/>
              </w:rPr>
              <w:t>Coaching/support effects and implementation context</w:t>
            </w:r>
          </w:p>
        </w:tc>
      </w:tr>
      <w:tr>
        <w:tc>
          <w:tcPr>
            <w:tcW w:type="dxa" w:w="5040"/>
          </w:tcPr>
          <w:p>
            <w:pPr>
              <w:spacing w:after="0"/>
            </w:pPr>
            <w:r>
              <w:rPr>
                <w:sz w:val="15"/>
              </w:rPr>
              <w:t>#005 Change Readiness</w:t>
            </w:r>
          </w:p>
        </w:tc>
        <w:tc>
          <w:tcPr>
            <w:tcW w:type="dxa" w:w="5040"/>
          </w:tcPr>
          <w:p>
            <w:pPr>
              <w:spacing w:after="0"/>
            </w:pPr>
            <w:r>
              <w:rPr>
                <w:sz w:val="15"/>
              </w:rPr>
              <w:t>Adaptation cost, disruption, change capacity</w:t>
            </w:r>
          </w:p>
        </w:tc>
      </w:tr>
      <w:tr>
        <w:tc>
          <w:tcPr>
            <w:tcW w:type="dxa" w:w="5040"/>
          </w:tcPr>
          <w:p>
            <w:pPr>
              <w:spacing w:after="0"/>
            </w:pPr>
            <w:r>
              <w:rPr>
                <w:sz w:val="15"/>
              </w:rPr>
              <w:t>#006 Career Pathway</w:t>
            </w:r>
          </w:p>
        </w:tc>
        <w:tc>
          <w:tcPr>
            <w:tcW w:type="dxa" w:w="5040"/>
          </w:tcPr>
          <w:p>
            <w:pPr>
              <w:spacing w:after="0"/>
            </w:pPr>
            <w:r>
              <w:rPr>
                <w:sz w:val="15"/>
              </w:rPr>
              <w:t>Placement, mobility, wages, employability, employer commitment</w:t>
            </w:r>
          </w:p>
        </w:tc>
      </w:tr>
      <w:tr>
        <w:tc>
          <w:tcPr>
            <w:tcW w:type="dxa" w:w="5040"/>
          </w:tcPr>
          <w:p>
            <w:pPr>
              <w:spacing w:after="0"/>
            </w:pPr>
            <w:r>
              <w:rPr>
                <w:sz w:val="15"/>
              </w:rPr>
              <w:t>#007 AI + Human Readiness</w:t>
            </w:r>
          </w:p>
        </w:tc>
        <w:tc>
          <w:tcPr>
            <w:tcW w:type="dxa" w:w="5040"/>
          </w:tcPr>
          <w:p>
            <w:pPr>
              <w:spacing w:after="0"/>
            </w:pPr>
            <w:r>
              <w:rPr>
                <w:sz w:val="15"/>
              </w:rPr>
              <w:t>Capacity release, productivity, quality, learning, governance and implementation cost</w:t>
            </w:r>
          </w:p>
        </w:tc>
      </w:tr>
      <w:tr>
        <w:tc>
          <w:tcPr>
            <w:tcW w:type="dxa" w:w="5040"/>
          </w:tcPr>
          <w:p>
            <w:pPr>
              <w:spacing w:after="0"/>
            </w:pPr>
            <w:r>
              <w:rPr>
                <w:sz w:val="15"/>
              </w:rPr>
              <w:t>#008 Economics of Readiness</w:t>
            </w:r>
          </w:p>
        </w:tc>
        <w:tc>
          <w:tcPr>
            <w:tcW w:type="dxa" w:w="5040"/>
          </w:tcPr>
          <w:p>
            <w:pPr>
              <w:spacing w:after="0"/>
            </w:pPr>
            <w:r>
              <w:rPr>
                <w:sz w:val="15"/>
              </w:rPr>
              <w:t>Converts validated incremental outcomes into stakeholder-specific economic value</w:t>
            </w:r>
          </w:p>
        </w:tc>
      </w:tr>
    </w:tbl>
    <w:p>
      <w:pPr>
        <w:pStyle w:val="Heading1"/>
      </w:pPr>
      <w:r>
        <w:t>4. Economic Value Is Not One Number</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Perspective</w:t>
            </w:r>
          </w:p>
        </w:tc>
        <w:tc>
          <w:tcPr>
            <w:tcW w:type="dxa" w:w="3360"/>
            <w:shd w:fill="0B3A53"/>
          </w:tcPr>
          <w:p>
            <w:r>
              <w:rPr>
                <w:b/>
                <w:color w:val="FFFFFF"/>
                <w:sz w:val="15"/>
              </w:rPr>
              <w:t>Primary value question</w:t>
            </w:r>
          </w:p>
        </w:tc>
        <w:tc>
          <w:tcPr>
            <w:tcW w:type="dxa" w:w="3360"/>
            <w:shd w:fill="0B3A53"/>
          </w:tcPr>
          <w:p>
            <w:r>
              <w:rPr>
                <w:b/>
                <w:color w:val="FFFFFF"/>
                <w:sz w:val="15"/>
              </w:rPr>
              <w:t>Examples</w:t>
            </w:r>
          </w:p>
        </w:tc>
      </w:tr>
      <w:tr>
        <w:tc>
          <w:tcPr>
            <w:tcW w:type="dxa" w:w="3360"/>
          </w:tcPr>
          <w:p>
            <w:pPr>
              <w:spacing w:after="0"/>
            </w:pPr>
            <w:r>
              <w:rPr>
                <w:sz w:val="15"/>
              </w:rPr>
              <w:t>Employer</w:t>
            </w:r>
          </w:p>
        </w:tc>
        <w:tc>
          <w:tcPr>
            <w:tcW w:type="dxa" w:w="3360"/>
          </w:tcPr>
          <w:p>
            <w:pPr>
              <w:spacing w:after="0"/>
            </w:pPr>
            <w:r>
              <w:rPr>
                <w:sz w:val="15"/>
              </w:rPr>
              <w:t>Does readiness create net value relative to current practice?</w:t>
            </w:r>
          </w:p>
        </w:tc>
        <w:tc>
          <w:tcPr>
            <w:tcW w:type="dxa" w:w="3360"/>
          </w:tcPr>
          <w:p>
            <w:pPr>
              <w:spacing w:after="0"/>
            </w:pPr>
            <w:r>
              <w:rPr>
                <w:sz w:val="15"/>
              </w:rPr>
              <w:t>Recruiting, training, productivity, turnover, quality, capacity, supervision, CX</w:t>
            </w:r>
          </w:p>
        </w:tc>
      </w:tr>
      <w:tr>
        <w:tc>
          <w:tcPr>
            <w:tcW w:type="dxa" w:w="3360"/>
          </w:tcPr>
          <w:p>
            <w:pPr>
              <w:spacing w:after="0"/>
            </w:pPr>
            <w:r>
              <w:rPr>
                <w:sz w:val="15"/>
              </w:rPr>
              <w:t>Worker/participant</w:t>
            </w:r>
          </w:p>
        </w:tc>
        <w:tc>
          <w:tcPr>
            <w:tcW w:type="dxa" w:w="3360"/>
          </w:tcPr>
          <w:p>
            <w:pPr>
              <w:spacing w:after="0"/>
            </w:pPr>
            <w:r>
              <w:rPr>
                <w:sz w:val="15"/>
              </w:rPr>
              <w:t>Does participation improve economic position or job quality net of participant cost?</w:t>
            </w:r>
          </w:p>
        </w:tc>
        <w:tc>
          <w:tcPr>
            <w:tcW w:type="dxa" w:w="3360"/>
          </w:tcPr>
          <w:p>
            <w:pPr>
              <w:spacing w:after="0"/>
            </w:pPr>
            <w:r>
              <w:rPr>
                <w:sz w:val="15"/>
              </w:rPr>
              <w:t>Earnings, hours, benefits, stability, mobility, time/fees</w:t>
            </w:r>
          </w:p>
        </w:tc>
      </w:tr>
      <w:tr>
        <w:tc>
          <w:tcPr>
            <w:tcW w:type="dxa" w:w="3360"/>
          </w:tcPr>
          <w:p>
            <w:pPr>
              <w:spacing w:after="0"/>
            </w:pPr>
            <w:r>
              <w:rPr>
                <w:sz w:val="15"/>
              </w:rPr>
              <w:t>College/workforce partner</w:t>
            </w:r>
          </w:p>
        </w:tc>
        <w:tc>
          <w:tcPr>
            <w:tcW w:type="dxa" w:w="3360"/>
          </w:tcPr>
          <w:p>
            <w:pPr>
              <w:spacing w:after="0"/>
            </w:pPr>
            <w:r>
              <w:rPr>
                <w:sz w:val="15"/>
              </w:rPr>
              <w:t>Is the pathway worth delivering relative to alternatives?</w:t>
            </w:r>
          </w:p>
        </w:tc>
        <w:tc>
          <w:tcPr>
            <w:tcW w:type="dxa" w:w="3360"/>
          </w:tcPr>
          <w:p>
            <w:pPr>
              <w:spacing w:after="0"/>
            </w:pPr>
            <w:r>
              <w:rPr>
                <w:sz w:val="15"/>
              </w:rPr>
              <w:t>Cost/participant, completion, placement, funding, employer demand</w:t>
            </w:r>
          </w:p>
        </w:tc>
      </w:tr>
      <w:tr>
        <w:tc>
          <w:tcPr>
            <w:tcW w:type="dxa" w:w="3360"/>
          </w:tcPr>
          <w:p>
            <w:pPr>
              <w:spacing w:after="0"/>
            </w:pPr>
            <w:r>
              <w:rPr>
                <w:sz w:val="15"/>
              </w:rPr>
              <w:t>Customer</w:t>
            </w:r>
          </w:p>
        </w:tc>
        <w:tc>
          <w:tcPr>
            <w:tcW w:type="dxa" w:w="3360"/>
          </w:tcPr>
          <w:p>
            <w:pPr>
              <w:spacing w:after="0"/>
            </w:pPr>
            <w:r>
              <w:rPr>
                <w:sz w:val="15"/>
              </w:rPr>
              <w:t>Do service outcomes improve or deteriorate?</w:t>
            </w:r>
          </w:p>
        </w:tc>
        <w:tc>
          <w:tcPr>
            <w:tcW w:type="dxa" w:w="3360"/>
          </w:tcPr>
          <w:p>
            <w:pPr>
              <w:spacing w:after="0"/>
            </w:pPr>
            <w:r>
              <w:rPr>
                <w:sz w:val="15"/>
              </w:rPr>
              <w:t>Resolution, access, error/rework, trust, time</w:t>
            </w:r>
          </w:p>
        </w:tc>
      </w:tr>
      <w:tr>
        <w:tc>
          <w:tcPr>
            <w:tcW w:type="dxa" w:w="3360"/>
          </w:tcPr>
          <w:p>
            <w:pPr>
              <w:spacing w:after="0"/>
            </w:pPr>
            <w:r>
              <w:rPr>
                <w:sz w:val="15"/>
              </w:rPr>
              <w:t>Public/society</w:t>
            </w:r>
          </w:p>
        </w:tc>
        <w:tc>
          <w:tcPr>
            <w:tcW w:type="dxa" w:w="3360"/>
          </w:tcPr>
          <w:p>
            <w:pPr>
              <w:spacing w:after="0"/>
            </w:pPr>
            <w:r>
              <w:rPr>
                <w:sz w:val="15"/>
              </w:rPr>
              <w:t>Are there broader net benefits when public funds are involved?</w:t>
            </w:r>
          </w:p>
        </w:tc>
        <w:tc>
          <w:tcPr>
            <w:tcW w:type="dxa" w:w="3360"/>
          </w:tcPr>
          <w:p>
            <w:pPr>
              <w:spacing w:after="0"/>
            </w:pPr>
            <w:r>
              <w:rPr>
                <w:sz w:val="15"/>
              </w:rPr>
              <w:t>Earnings/tax effects, program cost, unemployment/public-support effects where measurable</w:t>
            </w:r>
          </w:p>
        </w:tc>
      </w:tr>
      <w:tr>
        <w:tc>
          <w:tcPr>
            <w:tcW w:type="dxa" w:w="3360"/>
          </w:tcPr>
          <w:p>
            <w:pPr>
              <w:spacing w:after="0"/>
            </w:pPr>
            <w:r>
              <w:rPr>
                <w:sz w:val="15"/>
              </w:rPr>
              <w:t>ResolveCX</w:t>
            </w:r>
          </w:p>
        </w:tc>
        <w:tc>
          <w:tcPr>
            <w:tcW w:type="dxa" w:w="3360"/>
          </w:tcPr>
          <w:p>
            <w:pPr>
              <w:spacing w:after="0"/>
            </w:pPr>
            <w:r>
              <w:rPr>
                <w:sz w:val="15"/>
              </w:rPr>
              <w:t>Is there enough capturable value to support a sustainable business model?</w:t>
            </w:r>
          </w:p>
        </w:tc>
        <w:tc>
          <w:tcPr>
            <w:tcW w:type="dxa" w:w="3360"/>
          </w:tcPr>
          <w:p>
            <w:pPr>
              <w:spacing w:after="0"/>
            </w:pPr>
            <w:r>
              <w:rPr>
                <w:sz w:val="15"/>
              </w:rPr>
              <w:t>Willingness to pay, licensing/pilot economics, delivery cost, evidence cost</w:t>
            </w:r>
          </w:p>
        </w:tc>
      </w:tr>
    </w:tbl>
    <w:p>
      <w:pPr>
        <w:pStyle w:val="Heading1"/>
      </w:pPr>
      <w:r>
        <w:t>5. Economic Logic Model</w:t>
      </w:r>
    </w:p>
    <w:p>
      <w:r>
        <w:t>The study will preserve the causal chain rather than jumping directly from training to dollars.</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Stage</w:t>
            </w:r>
          </w:p>
        </w:tc>
        <w:tc>
          <w:tcPr>
            <w:tcW w:type="dxa" w:w="3360"/>
            <w:shd w:fill="0B3A53"/>
          </w:tcPr>
          <w:p>
            <w:r>
              <w:rPr>
                <w:b/>
                <w:color w:val="FFFFFF"/>
                <w:sz w:val="15"/>
              </w:rPr>
              <w:t>Question</w:t>
            </w:r>
          </w:p>
        </w:tc>
        <w:tc>
          <w:tcPr>
            <w:tcW w:type="dxa" w:w="3360"/>
            <w:shd w:fill="0B3A53"/>
          </w:tcPr>
          <w:p>
            <w:r>
              <w:rPr>
                <w:b/>
                <w:color w:val="FFFFFF"/>
                <w:sz w:val="15"/>
              </w:rPr>
              <w:t>Illustrative measure</w:t>
            </w:r>
          </w:p>
        </w:tc>
      </w:tr>
      <w:tr>
        <w:tc>
          <w:tcPr>
            <w:tcW w:type="dxa" w:w="3360"/>
          </w:tcPr>
          <w:p>
            <w:pPr>
              <w:spacing w:after="0"/>
            </w:pPr>
            <w:r>
              <w:rPr>
                <w:sz w:val="15"/>
              </w:rPr>
              <w:t>Investment</w:t>
            </w:r>
          </w:p>
        </w:tc>
        <w:tc>
          <w:tcPr>
            <w:tcW w:type="dxa" w:w="3360"/>
          </w:tcPr>
          <w:p>
            <w:pPr>
              <w:spacing w:after="0"/>
            </w:pPr>
            <w:r>
              <w:rPr>
                <w:sz w:val="15"/>
              </w:rPr>
              <w:t>What resources were actually consumed?</w:t>
            </w:r>
          </w:p>
        </w:tc>
        <w:tc>
          <w:tcPr>
            <w:tcW w:type="dxa" w:w="3360"/>
          </w:tcPr>
          <w:p>
            <w:pPr>
              <w:spacing w:after="0"/>
            </w:pPr>
            <w:r>
              <w:rPr>
                <w:sz w:val="15"/>
              </w:rPr>
              <w:t>Program, labor, technology, participant, governance costs</w:t>
            </w:r>
          </w:p>
        </w:tc>
      </w:tr>
      <w:tr>
        <w:tc>
          <w:tcPr>
            <w:tcW w:type="dxa" w:w="3360"/>
          </w:tcPr>
          <w:p>
            <w:pPr>
              <w:spacing w:after="0"/>
            </w:pPr>
            <w:r>
              <w:rPr>
                <w:sz w:val="15"/>
              </w:rPr>
              <w:t>Immediate output</w:t>
            </w:r>
          </w:p>
        </w:tc>
        <w:tc>
          <w:tcPr>
            <w:tcW w:type="dxa" w:w="3360"/>
          </w:tcPr>
          <w:p>
            <w:pPr>
              <w:spacing w:after="0"/>
            </w:pPr>
            <w:r>
              <w:rPr>
                <w:sz w:val="15"/>
              </w:rPr>
              <w:t>What was delivered/completed?</w:t>
            </w:r>
          </w:p>
        </w:tc>
        <w:tc>
          <w:tcPr>
            <w:tcW w:type="dxa" w:w="3360"/>
          </w:tcPr>
          <w:p>
            <w:pPr>
              <w:spacing w:after="0"/>
            </w:pPr>
            <w:r>
              <w:rPr>
                <w:sz w:val="15"/>
              </w:rPr>
              <w:t>Training exposure, completion, credential, coaching</w:t>
            </w:r>
          </w:p>
        </w:tc>
      </w:tr>
      <w:tr>
        <w:tc>
          <w:tcPr>
            <w:tcW w:type="dxa" w:w="3360"/>
          </w:tcPr>
          <w:p>
            <w:pPr>
              <w:spacing w:after="0"/>
            </w:pPr>
            <w:r>
              <w:rPr>
                <w:sz w:val="15"/>
              </w:rPr>
              <w:t>Behavior/capability</w:t>
            </w:r>
          </w:p>
        </w:tc>
        <w:tc>
          <w:tcPr>
            <w:tcW w:type="dxa" w:w="3360"/>
          </w:tcPr>
          <w:p>
            <w:pPr>
              <w:spacing w:after="0"/>
            </w:pPr>
            <w:r>
              <w:rPr>
                <w:sz w:val="15"/>
              </w:rPr>
              <w:t>What changed in work-relevant capability?</w:t>
            </w:r>
          </w:p>
        </w:tc>
        <w:tc>
          <w:tcPr>
            <w:tcW w:type="dxa" w:w="3360"/>
          </w:tcPr>
          <w:p>
            <w:pPr>
              <w:spacing w:after="0"/>
            </w:pPr>
            <w:r>
              <w:rPr>
                <w:sz w:val="15"/>
              </w:rPr>
              <w:t>Knowledge, judgment, readiness, behavior</w:t>
            </w:r>
          </w:p>
        </w:tc>
      </w:tr>
      <w:tr>
        <w:tc>
          <w:tcPr>
            <w:tcW w:type="dxa" w:w="3360"/>
          </w:tcPr>
          <w:p>
            <w:pPr>
              <w:spacing w:after="0"/>
            </w:pPr>
            <w:r>
              <w:rPr>
                <w:sz w:val="15"/>
              </w:rPr>
              <w:t>Operational outcome</w:t>
            </w:r>
          </w:p>
        </w:tc>
        <w:tc>
          <w:tcPr>
            <w:tcW w:type="dxa" w:w="3360"/>
          </w:tcPr>
          <w:p>
            <w:pPr>
              <w:spacing w:after="0"/>
            </w:pPr>
            <w:r>
              <w:rPr>
                <w:sz w:val="15"/>
              </w:rPr>
              <w:t>What changed in the work system?</w:t>
            </w:r>
          </w:p>
        </w:tc>
        <w:tc>
          <w:tcPr>
            <w:tcW w:type="dxa" w:w="3360"/>
          </w:tcPr>
          <w:p>
            <w:pPr>
              <w:spacing w:after="0"/>
            </w:pPr>
            <w:r>
              <w:rPr>
                <w:sz w:val="15"/>
              </w:rPr>
              <w:t>Completion, proficiency, turnover, quality, productivity</w:t>
            </w:r>
          </w:p>
        </w:tc>
      </w:tr>
      <w:tr>
        <w:tc>
          <w:tcPr>
            <w:tcW w:type="dxa" w:w="3360"/>
          </w:tcPr>
          <w:p>
            <w:pPr>
              <w:spacing w:after="0"/>
            </w:pPr>
            <w:r>
              <w:rPr>
                <w:sz w:val="15"/>
              </w:rPr>
              <w:t>Economic consequence</w:t>
            </w:r>
          </w:p>
        </w:tc>
        <w:tc>
          <w:tcPr>
            <w:tcW w:type="dxa" w:w="3360"/>
          </w:tcPr>
          <w:p>
            <w:pPr>
              <w:spacing w:after="0"/>
            </w:pPr>
            <w:r>
              <w:rPr>
                <w:sz w:val="15"/>
              </w:rPr>
              <w:t>What resource/revenue/cost changed?</w:t>
            </w:r>
          </w:p>
        </w:tc>
        <w:tc>
          <w:tcPr>
            <w:tcW w:type="dxa" w:w="3360"/>
          </w:tcPr>
          <w:p>
            <w:pPr>
              <w:spacing w:after="0"/>
            </w:pPr>
            <w:r>
              <w:rPr>
                <w:sz w:val="15"/>
              </w:rPr>
              <w:t>Avoided replacement, productive capacity, error/rework, wage change</w:t>
            </w:r>
          </w:p>
        </w:tc>
      </w:tr>
      <w:tr>
        <w:tc>
          <w:tcPr>
            <w:tcW w:type="dxa" w:w="3360"/>
          </w:tcPr>
          <w:p>
            <w:pPr>
              <w:spacing w:after="0"/>
            </w:pPr>
            <w:r>
              <w:rPr>
                <w:sz w:val="15"/>
              </w:rPr>
              <w:t>Net value</w:t>
            </w:r>
          </w:p>
        </w:tc>
        <w:tc>
          <w:tcPr>
            <w:tcW w:type="dxa" w:w="3360"/>
          </w:tcPr>
          <w:p>
            <w:pPr>
              <w:spacing w:after="0"/>
            </w:pPr>
            <w:r>
              <w:rPr>
                <w:sz w:val="15"/>
              </w:rPr>
              <w:t>Do incremental benefits exceed incremental costs?</w:t>
            </w:r>
          </w:p>
        </w:tc>
        <w:tc>
          <w:tcPr>
            <w:tcW w:type="dxa" w:w="3360"/>
          </w:tcPr>
          <w:p>
            <w:pPr>
              <w:spacing w:after="0"/>
            </w:pPr>
            <w:r>
              <w:rPr>
                <w:sz w:val="15"/>
              </w:rPr>
              <w:t>Net benefit, benefit-cost ratio, ROI, payback</w:t>
            </w:r>
          </w:p>
        </w:tc>
      </w:tr>
      <w:tr>
        <w:tc>
          <w:tcPr>
            <w:tcW w:type="dxa" w:w="3360"/>
          </w:tcPr>
          <w:p>
            <w:pPr>
              <w:spacing w:after="0"/>
            </w:pPr>
            <w:r>
              <w:rPr>
                <w:sz w:val="15"/>
              </w:rPr>
              <w:t>Distribution</w:t>
            </w:r>
          </w:p>
        </w:tc>
        <w:tc>
          <w:tcPr>
            <w:tcW w:type="dxa" w:w="3360"/>
          </w:tcPr>
          <w:p>
            <w:pPr>
              <w:spacing w:after="0"/>
            </w:pPr>
            <w:r>
              <w:rPr>
                <w:sz w:val="15"/>
              </w:rPr>
              <w:t>Who receives the gains and who bears costs?</w:t>
            </w:r>
          </w:p>
        </w:tc>
        <w:tc>
          <w:tcPr>
            <w:tcW w:type="dxa" w:w="3360"/>
          </w:tcPr>
          <w:p>
            <w:pPr>
              <w:spacing w:after="0"/>
            </w:pPr>
            <w:r>
              <w:rPr>
                <w:sz w:val="15"/>
              </w:rPr>
              <w:t>Employer/worker/partner/customer/public incidence</w:t>
            </w:r>
          </w:p>
        </w:tc>
      </w:tr>
    </w:tbl>
    <w:p>
      <w:pPr>
        <w:pStyle w:val="Heading1"/>
      </w:pPr>
      <w:r>
        <w:t>6. Hypotheses</w:t>
      </w:r>
    </w:p>
    <w:p>
      <w:r>
        <w:rPr>
          <w:b/>
        </w:rPr>
        <w:t>H1 — Readiness Has Economic Value Only Through Outcomes</w:t>
      </w:r>
      <w:r>
        <w:t>: Readiness investments will create economic value only to the extent that they change measurable downstream outcomes relative to a credible counterfactual.</w:t>
      </w:r>
    </w:p>
    <w:p>
      <w:r>
        <w:rPr>
          <w:b/>
        </w:rPr>
        <w:t>H2 — Early Attrition Is Economically Material but Context-Dependent</w:t>
      </w:r>
      <w:r>
        <w:t>: Reducing avoidable early attrition can create value through avoided recruiting, onboarding, training, vacancy, productivity-ramp and supervisory costs, but the value per avoided exit will vary substantially by employer and job.</w:t>
      </w:r>
    </w:p>
    <w:p>
      <w:r>
        <w:rPr>
          <w:b/>
        </w:rPr>
        <w:t>H3 — Time-to-Proficiency Is a Major Value Stream</w:t>
      </w:r>
      <w:r>
        <w:t>: Where readiness accelerates safe, quality-adjusted proficiency, the value of earlier productive capacity may rival or exceed direct training-cost savings.</w:t>
      </w:r>
    </w:p>
    <w:p>
      <w:r>
        <w:rPr>
          <w:b/>
        </w:rPr>
        <w:t>H4 — Quality-Adjusted Productivity Matters More Than Speed Alone</w:t>
      </w:r>
      <w:r>
        <w:t>: Economic gains from faster work will be reduced or reversed when they create rework, repeat contacts, errors, complaints, poor customer outcomes, regulatory risk, or employee harm.</w:t>
      </w:r>
    </w:p>
    <w:p>
      <w:r>
        <w:rPr>
          <w:b/>
        </w:rPr>
        <w:t>H5 — Employer ROI Is Heterogeneous</w:t>
      </w:r>
      <w:r>
        <w:t>: Employer returns will vary materially by baseline turnover, wages, training cost, vacancy pressure, job complexity, implementation quality, labor market, and ability to capture released capacity.</w:t>
      </w:r>
    </w:p>
    <w:p>
      <w:r>
        <w:rPr>
          <w:b/>
        </w:rPr>
        <w:t>H6 — Participant ROI Is Distinct from Employer ROI</w:t>
      </w:r>
      <w:r>
        <w:t>: A program can be financially attractive to an employer while producing weak participant economic mobility—or vice versa; both perspectives must be evaluated separately.</w:t>
      </w:r>
    </w:p>
    <w:p>
      <w:r>
        <w:rPr>
          <w:b/>
        </w:rPr>
        <w:t>H7 — Credential/Pathway Value Is Conditional</w:t>
      </w:r>
      <w:r>
        <w:t>: Economic returns from workforce pathways will depend on employer recognition, completion, field demand, mobility, wage effects, and participant costs rather than credential issuance alone.</w:t>
      </w:r>
    </w:p>
    <w:p>
      <w:r>
        <w:rPr>
          <w:b/>
        </w:rPr>
        <w:t>H8 — Benefits Must Be Incremental</w:t>
      </w:r>
      <w:r>
        <w:t>: Observed positive outcomes will overstate economic value unless changes that would have occurred without ResolveCX are removed through a credible counterfactual.</w:t>
      </w:r>
    </w:p>
    <w:p>
      <w:r>
        <w:rPr>
          <w:b/>
        </w:rPr>
        <w:t>H9 — Implementation and Opportunity Costs Are Material</w:t>
      </w:r>
      <w:r>
        <w:t>: Manager time, data/evaluation, technology, curriculum, governance, learner time, workflow disruption, and foregone alternatives can materially reduce apparent ROI.</w:t>
      </w:r>
    </w:p>
    <w:p>
      <w:r>
        <w:rPr>
          <w:b/>
        </w:rPr>
        <w:t>H10 — Benefits May Be Delayed</w:t>
      </w:r>
      <w:r>
        <w:t>: Some readiness investments may have negative short-run net value but positive longer-run value; payback timing and discounting matter.</w:t>
      </w:r>
    </w:p>
    <w:p>
      <w:r>
        <w:rPr>
          <w:b/>
        </w:rPr>
        <w:t>H11 — Distribution Matters</w:t>
      </w:r>
      <w:r>
        <w:t>: An intervention can have positive aggregate value while shifting costs or risks onto workers, customers, partners, or the public; distributional analysis may change the decision.</w:t>
      </w:r>
    </w:p>
    <w:p>
      <w:r>
        <w:rPr>
          <w:b/>
        </w:rPr>
        <w:t>H12 — Capturable Value Determines the Economic Buyer</w:t>
      </w:r>
      <w:r>
        <w:t>: ResolveCX is commercially viable only if a stakeholder that can pay captures enough incremental value—or values strategic/public benefits enough—to fund the intervention.</w:t>
      </w:r>
    </w:p>
    <w:p>
      <w:r>
        <w:rPr>
          <w:b/>
        </w:rPr>
        <w:t>H13 — Scale Is Not Automatically Economical</w:t>
      </w:r>
      <w:r>
        <w:t>: Per-participant cost may decline with scale, but quality, implementation burden, employer opportunity, and marginal participant outcomes may also change; scale economies must be observed rather than assumed.</w:t>
      </w:r>
    </w:p>
    <w:p>
      <w:r>
        <w:rPr>
          <w:b/>
        </w:rPr>
        <w:t>H14 — Non-Readiness Alternatives May Dominate</w:t>
      </w:r>
      <w:r>
        <w:t>: Staffing, compensation, scheduling, process redesign, supervisor improvement, knowledge management, technology, or other interventions may create equal or greater value than readiness investment.</w:t>
      </w:r>
    </w:p>
    <w:p>
      <w:pPr>
        <w:pStyle w:val="Heading1"/>
      </w:pPr>
      <w:r>
        <w:t>7. Evidence Sufficiency Decision Framework</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Status</w:t>
            </w:r>
          </w:p>
        </w:tc>
        <w:tc>
          <w:tcPr>
            <w:tcW w:type="dxa" w:w="5040"/>
            <w:shd w:fill="0B3A53"/>
          </w:tcPr>
          <w:p>
            <w:r>
              <w:rPr>
                <w:b/>
                <w:color w:val="FFFFFF"/>
                <w:sz w:val="15"/>
              </w:rPr>
              <w:t>Action</w:t>
            </w:r>
          </w:p>
        </w:tc>
      </w:tr>
      <w:tr>
        <w:tc>
          <w:tcPr>
            <w:tcW w:type="dxa" w:w="5040"/>
          </w:tcPr>
          <w:p>
            <w:pPr>
              <w:spacing w:after="0"/>
            </w:pPr>
            <w:r>
              <w:rPr>
                <w:sz w:val="15"/>
              </w:rPr>
              <w:t>ESTABLISHED</w:t>
            </w:r>
          </w:p>
        </w:tc>
        <w:tc>
          <w:tcPr>
            <w:tcW w:type="dxa" w:w="5040"/>
          </w:tcPr>
          <w:p>
            <w:pPr>
              <w:spacing w:after="0"/>
            </w:pPr>
            <w:r>
              <w:rPr>
                <w:sz w:val="15"/>
              </w:rPr>
              <w:t>Use external evidence/methodology; do not reproduce mature principles.</w:t>
            </w:r>
          </w:p>
        </w:tc>
      </w:tr>
      <w:tr>
        <w:tc>
          <w:tcPr>
            <w:tcW w:type="dxa" w:w="5040"/>
          </w:tcPr>
          <w:p>
            <w:pPr>
              <w:spacing w:after="0"/>
            </w:pPr>
            <w:r>
              <w:rPr>
                <w:sz w:val="15"/>
              </w:rPr>
              <w:t>SUPPORTED BUT TRANSFERABILITY UNKNOWN</w:t>
            </w:r>
          </w:p>
        </w:tc>
        <w:tc>
          <w:tcPr>
            <w:tcW w:type="dxa" w:w="5040"/>
          </w:tcPr>
          <w:p>
            <w:pPr>
              <w:spacing w:after="0"/>
            </w:pPr>
            <w:r>
              <w:rPr>
                <w:sz w:val="15"/>
              </w:rPr>
              <w:t>Test contact-center/employer transferability only where decision-relevant.</w:t>
            </w:r>
          </w:p>
        </w:tc>
      </w:tr>
      <w:tr>
        <w:tc>
          <w:tcPr>
            <w:tcW w:type="dxa" w:w="5040"/>
          </w:tcPr>
          <w:p>
            <w:pPr>
              <w:spacing w:after="0"/>
            </w:pPr>
            <w:r>
              <w:rPr>
                <w:sz w:val="15"/>
              </w:rPr>
              <w:t>MIXED</w:t>
            </w:r>
          </w:p>
        </w:tc>
        <w:tc>
          <w:tcPr>
            <w:tcW w:type="dxa" w:w="5040"/>
          </w:tcPr>
          <w:p>
            <w:pPr>
              <w:spacing w:after="0"/>
            </w:pPr>
            <w:r>
              <w:rPr>
                <w:sz w:val="15"/>
              </w:rPr>
              <w:t>Model heterogeneity and conditions rather than forcing a single estimate.</w:t>
            </w:r>
          </w:p>
        </w:tc>
      </w:tr>
      <w:tr>
        <w:tc>
          <w:tcPr>
            <w:tcW w:type="dxa" w:w="5040"/>
          </w:tcPr>
          <w:p>
            <w:pPr>
              <w:spacing w:after="0"/>
            </w:pPr>
            <w:r>
              <w:rPr>
                <w:sz w:val="15"/>
              </w:rPr>
              <w:t>EVIDENCE GAP</w:t>
            </w:r>
          </w:p>
        </w:tc>
        <w:tc>
          <w:tcPr>
            <w:tcW w:type="dxa" w:w="5040"/>
          </w:tcPr>
          <w:p>
            <w:pPr>
              <w:spacing w:after="0"/>
            </w:pPr>
            <w:r>
              <w:rPr>
                <w:sz w:val="15"/>
              </w:rPr>
              <w:t>Collect targeted cost/outcome evidence if it can change a decision.</w:t>
            </w:r>
          </w:p>
        </w:tc>
      </w:tr>
      <w:tr>
        <w:tc>
          <w:tcPr>
            <w:tcW w:type="dxa" w:w="5040"/>
          </w:tcPr>
          <w:p>
            <w:pPr>
              <w:spacing w:after="0"/>
            </w:pPr>
            <w:r>
              <w:rPr>
                <w:sz w:val="15"/>
              </w:rPr>
              <w:t>CONTRADICTED</w:t>
            </w:r>
          </w:p>
        </w:tc>
        <w:tc>
          <w:tcPr>
            <w:tcW w:type="dxa" w:w="5040"/>
          </w:tcPr>
          <w:p>
            <w:pPr>
              <w:spacing w:after="0"/>
            </w:pPr>
            <w:r>
              <w:rPr>
                <w:sz w:val="15"/>
              </w:rPr>
              <w:t>Revise or reject the proposed value stream.</w:t>
            </w:r>
          </w:p>
        </w:tc>
      </w:tr>
      <w:tr>
        <w:tc>
          <w:tcPr>
            <w:tcW w:type="dxa" w:w="5040"/>
          </w:tcPr>
          <w:p>
            <w:pPr>
              <w:spacing w:after="0"/>
            </w:pPr>
            <w:r>
              <w:rPr>
                <w:sz w:val="15"/>
              </w:rPr>
              <w:t>RESOLVECX-SPECIFIC GAP</w:t>
            </w:r>
          </w:p>
        </w:tc>
        <w:tc>
          <w:tcPr>
            <w:tcW w:type="dxa" w:w="5040"/>
          </w:tcPr>
          <w:p>
            <w:pPr>
              <w:spacing w:after="0"/>
            </w:pPr>
            <w:r>
              <w:rPr>
                <w:sz w:val="15"/>
              </w:rPr>
              <w:t>Directly estimate incremental ResolveCX costs and outcomes before ROI claims.</w:t>
            </w:r>
          </w:p>
        </w:tc>
      </w:tr>
    </w:tbl>
    <w:p>
      <w:pPr>
        <w:pStyle w:val="Heading1"/>
      </w:pPr>
      <w:r>
        <w:t>8. Hypothesis-Level Evidence Triage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4"/>
              </w:rPr>
              <w:t>Hypothesis</w:t>
            </w:r>
          </w:p>
        </w:tc>
        <w:tc>
          <w:tcPr>
            <w:tcW w:type="dxa" w:w="3360"/>
            <w:shd w:fill="0B3A53"/>
          </w:tcPr>
          <w:p>
            <w:r>
              <w:rPr>
                <w:b/>
                <w:color w:val="FFFFFF"/>
                <w:sz w:val="14"/>
              </w:rPr>
              <w:t>Current status</w:t>
            </w:r>
          </w:p>
        </w:tc>
        <w:tc>
          <w:tcPr>
            <w:tcW w:type="dxa" w:w="3360"/>
            <w:shd w:fill="0B3A53"/>
          </w:tcPr>
          <w:p>
            <w:r>
              <w:rPr>
                <w:b/>
                <w:color w:val="FFFFFF"/>
                <w:sz w:val="14"/>
              </w:rPr>
              <w:t>Implication</w:t>
            </w:r>
          </w:p>
        </w:tc>
      </w:tr>
      <w:tr>
        <w:tc>
          <w:tcPr>
            <w:tcW w:type="dxa" w:w="3360"/>
          </w:tcPr>
          <w:p>
            <w:pPr>
              <w:spacing w:after="0"/>
            </w:pPr>
            <w:r>
              <w:rPr>
                <w:sz w:val="14"/>
              </w:rPr>
              <w:t>H1 Outcome-mediated value</w:t>
            </w:r>
          </w:p>
        </w:tc>
        <w:tc>
          <w:tcPr>
            <w:tcW w:type="dxa" w:w="3360"/>
          </w:tcPr>
          <w:p>
            <w:pPr>
              <w:spacing w:after="0"/>
            </w:pPr>
            <w:r>
              <w:rPr>
                <w:sz w:val="14"/>
              </w:rPr>
              <w:t>ESTABLISHED METHOD PRINCIPLE</w:t>
            </w:r>
          </w:p>
        </w:tc>
        <w:tc>
          <w:tcPr>
            <w:tcW w:type="dxa" w:w="3360"/>
          </w:tcPr>
          <w:p>
            <w:pPr>
              <w:spacing w:after="0"/>
            </w:pPr>
            <w:r>
              <w:rPr>
                <w:sz w:val="14"/>
              </w:rPr>
              <w:t>CBA/ROI requires linking investment to incremental benefits.</w:t>
            </w:r>
          </w:p>
        </w:tc>
      </w:tr>
      <w:tr>
        <w:tc>
          <w:tcPr>
            <w:tcW w:type="dxa" w:w="3360"/>
          </w:tcPr>
          <w:p>
            <w:pPr>
              <w:spacing w:after="0"/>
            </w:pPr>
            <w:r>
              <w:rPr>
                <w:sz w:val="14"/>
              </w:rPr>
              <w:t>H2 Early attrition economics</w:t>
            </w:r>
          </w:p>
        </w:tc>
        <w:tc>
          <w:tcPr>
            <w:tcW w:type="dxa" w:w="3360"/>
          </w:tcPr>
          <w:p>
            <w:pPr>
              <w:spacing w:after="0"/>
            </w:pPr>
            <w:r>
              <w:rPr>
                <w:sz w:val="14"/>
              </w:rPr>
              <w:t>SUPPORTED / LOCAL COST GAP</w:t>
            </w:r>
          </w:p>
        </w:tc>
        <w:tc>
          <w:tcPr>
            <w:tcW w:type="dxa" w:w="3360"/>
          </w:tcPr>
          <w:p>
            <w:pPr>
              <w:spacing w:after="0"/>
            </w:pPr>
            <w:r>
              <w:rPr>
                <w:sz w:val="14"/>
              </w:rPr>
              <w:t>Turnover creates hiring/training/productivity costs; employer-specific unit cost must be measured.</w:t>
            </w:r>
          </w:p>
        </w:tc>
      </w:tr>
      <w:tr>
        <w:tc>
          <w:tcPr>
            <w:tcW w:type="dxa" w:w="3360"/>
          </w:tcPr>
          <w:p>
            <w:pPr>
              <w:spacing w:after="0"/>
            </w:pPr>
            <w:r>
              <w:rPr>
                <w:sz w:val="14"/>
              </w:rPr>
              <w:t>H3 Time-to-proficiency</w:t>
            </w:r>
          </w:p>
        </w:tc>
        <w:tc>
          <w:tcPr>
            <w:tcW w:type="dxa" w:w="3360"/>
          </w:tcPr>
          <w:p>
            <w:pPr>
              <w:spacing w:after="0"/>
            </w:pPr>
            <w:r>
              <w:rPr>
                <w:sz w:val="14"/>
              </w:rPr>
              <w:t>SUPPORTED CONCEPTUALLY / CONTACT-CENTER COST GAP</w:t>
            </w:r>
          </w:p>
        </w:tc>
        <w:tc>
          <w:tcPr>
            <w:tcW w:type="dxa" w:w="3360"/>
          </w:tcPr>
          <w:p>
            <w:pPr>
              <w:spacing w:after="0"/>
            </w:pPr>
            <w:r>
              <w:rPr>
                <w:sz w:val="14"/>
              </w:rPr>
              <w:t>Learning-curve productivity is economically measurable; ResolveCX effect requires employer data.</w:t>
            </w:r>
          </w:p>
        </w:tc>
      </w:tr>
      <w:tr>
        <w:tc>
          <w:tcPr>
            <w:tcW w:type="dxa" w:w="3360"/>
          </w:tcPr>
          <w:p>
            <w:pPr>
              <w:spacing w:after="0"/>
            </w:pPr>
            <w:r>
              <w:rPr>
                <w:sz w:val="14"/>
              </w:rPr>
              <w:t>H4 Quality-adjusted productivity</w:t>
            </w:r>
          </w:p>
        </w:tc>
        <w:tc>
          <w:tcPr>
            <w:tcW w:type="dxa" w:w="3360"/>
          </w:tcPr>
          <w:p>
            <w:pPr>
              <w:spacing w:after="0"/>
            </w:pPr>
            <w:r>
              <w:rPr>
                <w:sz w:val="14"/>
              </w:rPr>
              <w:t>ESTABLISHED DESIGN PRINCIPLE</w:t>
            </w:r>
          </w:p>
        </w:tc>
        <w:tc>
          <w:tcPr>
            <w:tcW w:type="dxa" w:w="3360"/>
          </w:tcPr>
          <w:p>
            <w:pPr>
              <w:spacing w:after="0"/>
            </w:pPr>
            <w:r>
              <w:rPr>
                <w:sz w:val="14"/>
              </w:rPr>
              <w:t>Do not monetize speed while ignoring downstream quality costs.</w:t>
            </w:r>
          </w:p>
        </w:tc>
      </w:tr>
      <w:tr>
        <w:tc>
          <w:tcPr>
            <w:tcW w:type="dxa" w:w="3360"/>
          </w:tcPr>
          <w:p>
            <w:pPr>
              <w:spacing w:after="0"/>
            </w:pPr>
            <w:r>
              <w:rPr>
                <w:sz w:val="14"/>
              </w:rPr>
              <w:t>H5 Employer heterogeneity</w:t>
            </w:r>
          </w:p>
        </w:tc>
        <w:tc>
          <w:tcPr>
            <w:tcW w:type="dxa" w:w="3360"/>
          </w:tcPr>
          <w:p>
            <w:pPr>
              <w:spacing w:after="0"/>
            </w:pPr>
            <w:r>
              <w:rPr>
                <w:sz w:val="14"/>
              </w:rPr>
              <w:t>ESTABLISHED / MODEL REQUIRED</w:t>
            </w:r>
          </w:p>
        </w:tc>
        <w:tc>
          <w:tcPr>
            <w:tcW w:type="dxa" w:w="3360"/>
          </w:tcPr>
          <w:p>
            <w:pPr>
              <w:spacing w:after="0"/>
            </w:pPr>
            <w:r>
              <w:rPr>
                <w:sz w:val="14"/>
              </w:rPr>
              <w:t>Published employer training ROI varies widely; sensitivity and employer-specific modeling required.</w:t>
            </w:r>
          </w:p>
        </w:tc>
      </w:tr>
      <w:tr>
        <w:tc>
          <w:tcPr>
            <w:tcW w:type="dxa" w:w="3360"/>
          </w:tcPr>
          <w:p>
            <w:pPr>
              <w:spacing w:after="0"/>
            </w:pPr>
            <w:r>
              <w:rPr>
                <w:sz w:val="14"/>
              </w:rPr>
              <w:t>H6 Participant vs employer ROI</w:t>
            </w:r>
          </w:p>
        </w:tc>
        <w:tc>
          <w:tcPr>
            <w:tcW w:type="dxa" w:w="3360"/>
          </w:tcPr>
          <w:p>
            <w:pPr>
              <w:spacing w:after="0"/>
            </w:pPr>
            <w:r>
              <w:rPr>
                <w:sz w:val="14"/>
              </w:rPr>
              <w:t>ESTABLISHED</w:t>
            </w:r>
          </w:p>
        </w:tc>
        <w:tc>
          <w:tcPr>
            <w:tcW w:type="dxa" w:w="3360"/>
          </w:tcPr>
          <w:p>
            <w:pPr>
              <w:spacing w:after="0"/>
            </w:pPr>
            <w:r>
              <w:rPr>
                <w:sz w:val="14"/>
              </w:rPr>
              <w:t>Workforce ROI guidance supports multiple stakeholder perspectives.</w:t>
            </w:r>
          </w:p>
        </w:tc>
      </w:tr>
      <w:tr>
        <w:tc>
          <w:tcPr>
            <w:tcW w:type="dxa" w:w="3360"/>
          </w:tcPr>
          <w:p>
            <w:pPr>
              <w:spacing w:after="0"/>
            </w:pPr>
            <w:r>
              <w:rPr>
                <w:sz w:val="14"/>
              </w:rPr>
              <w:t>H7 Pathway/credential value</w:t>
            </w:r>
          </w:p>
        </w:tc>
        <w:tc>
          <w:tcPr>
            <w:tcW w:type="dxa" w:w="3360"/>
          </w:tcPr>
          <w:p>
            <w:pPr>
              <w:spacing w:after="0"/>
            </w:pPr>
            <w:r>
              <w:rPr>
                <w:sz w:val="14"/>
              </w:rPr>
              <w:t>SUPPORTED AS CONDITIONAL</w:t>
            </w:r>
          </w:p>
        </w:tc>
        <w:tc>
          <w:tcPr>
            <w:tcW w:type="dxa" w:w="3360"/>
          </w:tcPr>
          <w:p>
            <w:pPr>
              <w:spacing w:after="0"/>
            </w:pPr>
            <w:r>
              <w:rPr>
                <w:sz w:val="14"/>
              </w:rPr>
              <w:t>Study #006 evidence shows heterogeneous returns; no blanket credential value.</w:t>
            </w:r>
          </w:p>
        </w:tc>
      </w:tr>
      <w:tr>
        <w:tc>
          <w:tcPr>
            <w:tcW w:type="dxa" w:w="3360"/>
          </w:tcPr>
          <w:p>
            <w:pPr>
              <w:spacing w:after="0"/>
            </w:pPr>
            <w:r>
              <w:rPr>
                <w:sz w:val="14"/>
              </w:rPr>
              <w:t>H8 Incrementality</w:t>
            </w:r>
          </w:p>
        </w:tc>
        <w:tc>
          <w:tcPr>
            <w:tcW w:type="dxa" w:w="3360"/>
          </w:tcPr>
          <w:p>
            <w:pPr>
              <w:spacing w:after="0"/>
            </w:pPr>
            <w:r>
              <w:rPr>
                <w:sz w:val="14"/>
              </w:rPr>
              <w:t>ESTABLISHED</w:t>
            </w:r>
          </w:p>
        </w:tc>
        <w:tc>
          <w:tcPr>
            <w:tcW w:type="dxa" w:w="3360"/>
          </w:tcPr>
          <w:p>
            <w:pPr>
              <w:spacing w:after="0"/>
            </w:pPr>
            <w:r>
              <w:rPr>
                <w:sz w:val="14"/>
              </w:rPr>
              <w:t>Counterfactual is essential to economic evaluation.</w:t>
            </w:r>
          </w:p>
        </w:tc>
      </w:tr>
      <w:tr>
        <w:tc>
          <w:tcPr>
            <w:tcW w:type="dxa" w:w="3360"/>
          </w:tcPr>
          <w:p>
            <w:pPr>
              <w:spacing w:after="0"/>
            </w:pPr>
            <w:r>
              <w:rPr>
                <w:sz w:val="14"/>
              </w:rPr>
              <w:t>H9 Full implementation cost</w:t>
            </w:r>
          </w:p>
        </w:tc>
        <w:tc>
          <w:tcPr>
            <w:tcW w:type="dxa" w:w="3360"/>
          </w:tcPr>
          <w:p>
            <w:pPr>
              <w:spacing w:after="0"/>
            </w:pPr>
            <w:r>
              <w:rPr>
                <w:sz w:val="14"/>
              </w:rPr>
              <w:t>ESTABLISHED</w:t>
            </w:r>
          </w:p>
        </w:tc>
        <w:tc>
          <w:tcPr>
            <w:tcW w:type="dxa" w:w="3360"/>
          </w:tcPr>
          <w:p>
            <w:pPr>
              <w:spacing w:after="0"/>
            </w:pPr>
            <w:r>
              <w:rPr>
                <w:sz w:val="14"/>
              </w:rPr>
              <w:t>All resources required to produce benefits belong in cost accounting.</w:t>
            </w:r>
          </w:p>
        </w:tc>
      </w:tr>
      <w:tr>
        <w:tc>
          <w:tcPr>
            <w:tcW w:type="dxa" w:w="3360"/>
          </w:tcPr>
          <w:p>
            <w:pPr>
              <w:spacing w:after="0"/>
            </w:pPr>
            <w:r>
              <w:rPr>
                <w:sz w:val="14"/>
              </w:rPr>
              <w:t>H10 Timing</w:t>
            </w:r>
          </w:p>
        </w:tc>
        <w:tc>
          <w:tcPr>
            <w:tcW w:type="dxa" w:w="3360"/>
          </w:tcPr>
          <w:p>
            <w:pPr>
              <w:spacing w:after="0"/>
            </w:pPr>
            <w:r>
              <w:rPr>
                <w:sz w:val="14"/>
              </w:rPr>
              <w:t>ESTABLISHED</w:t>
            </w:r>
          </w:p>
        </w:tc>
        <w:tc>
          <w:tcPr>
            <w:tcW w:type="dxa" w:w="3360"/>
          </w:tcPr>
          <w:p>
            <w:pPr>
              <w:spacing w:after="0"/>
            </w:pPr>
            <w:r>
              <w:rPr>
                <w:sz w:val="14"/>
              </w:rPr>
              <w:t>Time horizon, discounting and payback materially affect conclusions.</w:t>
            </w:r>
          </w:p>
        </w:tc>
      </w:tr>
      <w:tr>
        <w:tc>
          <w:tcPr>
            <w:tcW w:type="dxa" w:w="3360"/>
          </w:tcPr>
          <w:p>
            <w:pPr>
              <w:spacing w:after="0"/>
            </w:pPr>
            <w:r>
              <w:rPr>
                <w:sz w:val="14"/>
              </w:rPr>
              <w:t>H11 Distribution</w:t>
            </w:r>
          </w:p>
        </w:tc>
        <w:tc>
          <w:tcPr>
            <w:tcW w:type="dxa" w:w="3360"/>
          </w:tcPr>
          <w:p>
            <w:pPr>
              <w:spacing w:after="0"/>
            </w:pPr>
            <w:r>
              <w:rPr>
                <w:sz w:val="14"/>
              </w:rPr>
              <w:t>ESTABLISHED / OFTEN OMITTED</w:t>
            </w:r>
          </w:p>
        </w:tc>
        <w:tc>
          <w:tcPr>
            <w:tcW w:type="dxa" w:w="3360"/>
          </w:tcPr>
          <w:p>
            <w:pPr>
              <w:spacing w:after="0"/>
            </w:pPr>
            <w:r>
              <w:rPr>
                <w:sz w:val="14"/>
              </w:rPr>
              <w:t>Aggregate positive value can conceal unequal incidence.</w:t>
            </w:r>
          </w:p>
        </w:tc>
      </w:tr>
      <w:tr>
        <w:tc>
          <w:tcPr>
            <w:tcW w:type="dxa" w:w="3360"/>
          </w:tcPr>
          <w:p>
            <w:pPr>
              <w:spacing w:after="0"/>
            </w:pPr>
            <w:r>
              <w:rPr>
                <w:sz w:val="14"/>
              </w:rPr>
              <w:t>H12 Economic buyer</w:t>
            </w:r>
          </w:p>
        </w:tc>
        <w:tc>
          <w:tcPr>
            <w:tcW w:type="dxa" w:w="3360"/>
          </w:tcPr>
          <w:p>
            <w:pPr>
              <w:spacing w:after="0"/>
            </w:pPr>
            <w:r>
              <w:rPr>
                <w:sz w:val="14"/>
              </w:rPr>
              <w:t>RESOLVECX-SPECIFIC GAP</w:t>
            </w:r>
          </w:p>
        </w:tc>
        <w:tc>
          <w:tcPr>
            <w:tcW w:type="dxa" w:w="3360"/>
          </w:tcPr>
          <w:p>
            <w:pPr>
              <w:spacing w:after="0"/>
            </w:pPr>
            <w:r>
              <w:rPr>
                <w:sz w:val="14"/>
              </w:rPr>
              <w:t>Must connect value capture to actual willingness/ability to pay.</w:t>
            </w:r>
          </w:p>
        </w:tc>
      </w:tr>
      <w:tr>
        <w:tc>
          <w:tcPr>
            <w:tcW w:type="dxa" w:w="3360"/>
          </w:tcPr>
          <w:p>
            <w:pPr>
              <w:spacing w:after="0"/>
            </w:pPr>
            <w:r>
              <w:rPr>
                <w:sz w:val="14"/>
              </w:rPr>
              <w:t>H13 Scale</w:t>
            </w:r>
          </w:p>
        </w:tc>
        <w:tc>
          <w:tcPr>
            <w:tcW w:type="dxa" w:w="3360"/>
          </w:tcPr>
          <w:p>
            <w:pPr>
              <w:spacing w:after="0"/>
            </w:pPr>
            <w:r>
              <w:rPr>
                <w:sz w:val="14"/>
              </w:rPr>
              <w:t>EVIDENCE GAP / PILOT-TO-SCALE</w:t>
            </w:r>
          </w:p>
        </w:tc>
        <w:tc>
          <w:tcPr>
            <w:tcW w:type="dxa" w:w="3360"/>
          </w:tcPr>
          <w:p>
            <w:pPr>
              <w:spacing w:after="0"/>
            </w:pPr>
            <w:r>
              <w:rPr>
                <w:sz w:val="14"/>
              </w:rPr>
              <w:t>Unit economics may change nonlinearly with scale.</w:t>
            </w:r>
          </w:p>
        </w:tc>
      </w:tr>
      <w:tr>
        <w:tc>
          <w:tcPr>
            <w:tcW w:type="dxa" w:w="3360"/>
          </w:tcPr>
          <w:p>
            <w:pPr>
              <w:spacing w:after="0"/>
            </w:pPr>
            <w:r>
              <w:rPr>
                <w:sz w:val="14"/>
              </w:rPr>
              <w:t>H14 Alternatives</w:t>
            </w:r>
          </w:p>
        </w:tc>
        <w:tc>
          <w:tcPr>
            <w:tcW w:type="dxa" w:w="3360"/>
          </w:tcPr>
          <w:p>
            <w:pPr>
              <w:spacing w:after="0"/>
            </w:pPr>
            <w:r>
              <w:rPr>
                <w:sz w:val="14"/>
              </w:rPr>
              <w:t>ESTABLISHED DECISION PRINCIPLE</w:t>
            </w:r>
          </w:p>
        </w:tc>
        <w:tc>
          <w:tcPr>
            <w:tcW w:type="dxa" w:w="3360"/>
          </w:tcPr>
          <w:p>
            <w:pPr>
              <w:spacing w:after="0"/>
            </w:pPr>
            <w:r>
              <w:rPr>
                <w:sz w:val="14"/>
              </w:rPr>
              <w:t>Economic evaluation requires comparison with credible alternatives, not only 'do nothing'.</w:t>
            </w:r>
          </w:p>
        </w:tc>
      </w:tr>
    </w:tbl>
    <w:p>
      <w:pPr>
        <w:pStyle w:val="Heading1"/>
      </w:pPr>
      <w:r>
        <w:t>9. Current External Evidence Foundation</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0B3A53"/>
          </w:tcPr>
          <w:p>
            <w:r>
              <w:rPr>
                <w:b/>
                <w:color w:val="FFFFFF"/>
                <w:sz w:val="14"/>
              </w:rPr>
              <w:t>Anchor source</w:t>
            </w:r>
          </w:p>
        </w:tc>
        <w:tc>
          <w:tcPr>
            <w:tcW w:type="dxa" w:w="2520"/>
            <w:shd w:fill="0B3A53"/>
          </w:tcPr>
          <w:p>
            <w:r>
              <w:rPr>
                <w:b/>
                <w:color w:val="FFFFFF"/>
                <w:sz w:val="14"/>
              </w:rPr>
              <w:t>Evidence / scale</w:t>
            </w:r>
          </w:p>
        </w:tc>
        <w:tc>
          <w:tcPr>
            <w:tcW w:type="dxa" w:w="2520"/>
            <w:shd w:fill="0B3A53"/>
          </w:tcPr>
          <w:p>
            <w:r>
              <w:rPr>
                <w:b/>
                <w:color w:val="FFFFFF"/>
                <w:sz w:val="14"/>
              </w:rPr>
              <w:t>Contribution</w:t>
            </w:r>
          </w:p>
        </w:tc>
        <w:tc>
          <w:tcPr>
            <w:tcW w:type="dxa" w:w="2520"/>
            <w:shd w:fill="0B3A53"/>
          </w:tcPr>
          <w:p>
            <w:r>
              <w:rPr>
                <w:b/>
                <w:color w:val="FFFFFF"/>
                <w:sz w:val="14"/>
              </w:rPr>
              <w:t>Boundary</w:t>
            </w:r>
          </w:p>
        </w:tc>
      </w:tr>
      <w:tr>
        <w:tc>
          <w:tcPr>
            <w:tcW w:type="dxa" w:w="2520"/>
          </w:tcPr>
          <w:p>
            <w:pPr>
              <w:spacing w:after="0"/>
            </w:pPr>
            <w:r>
              <w:rPr>
                <w:sz w:val="14"/>
              </w:rPr>
              <w:t>U.S. DOL, Return on Investment to Employers from Registered Apprenticeships (2026 release; Hollenbeck review)</w:t>
            </w:r>
          </w:p>
        </w:tc>
        <w:tc>
          <w:tcPr>
            <w:tcW w:type="dxa" w:w="2520"/>
          </w:tcPr>
          <w:p>
            <w:pPr>
              <w:spacing w:after="0"/>
            </w:pPr>
            <w:r>
              <w:rPr>
                <w:sz w:val="14"/>
              </w:rPr>
              <w:t>Employer apprenticeship ROI literature review</w:t>
            </w:r>
          </w:p>
        </w:tc>
        <w:tc>
          <w:tcPr>
            <w:tcW w:type="dxa" w:w="2520"/>
          </w:tcPr>
          <w:p>
            <w:pPr>
              <w:spacing w:after="0"/>
            </w:pPr>
            <w:r>
              <w:rPr>
                <w:sz w:val="14"/>
              </w:rPr>
              <w:t>Rigorous estimates reviewed ranged roughly 40%–90% ROI; demonstrates training can create employer value and that returns vary.</w:t>
            </w:r>
          </w:p>
        </w:tc>
        <w:tc>
          <w:tcPr>
            <w:tcW w:type="dxa" w:w="2520"/>
          </w:tcPr>
          <w:p>
            <w:pPr>
              <w:spacing w:after="0"/>
            </w:pPr>
            <w:r>
              <w:rPr>
                <w:sz w:val="14"/>
              </w:rPr>
              <w:t>Apprenticeship evidence is not contact-center or ResolveCX evidence.</w:t>
            </w:r>
          </w:p>
        </w:tc>
      </w:tr>
      <w:tr>
        <w:tc>
          <w:tcPr>
            <w:tcW w:type="dxa" w:w="2520"/>
          </w:tcPr>
          <w:p>
            <w:pPr>
              <w:spacing w:after="0"/>
            </w:pPr>
            <w:r>
              <w:rPr>
                <w:sz w:val="14"/>
              </w:rPr>
              <w:t>U.S. DOL, American Apprenticeship Initiative employer ROI study</w:t>
            </w:r>
          </w:p>
        </w:tc>
        <w:tc>
          <w:tcPr>
            <w:tcW w:type="dxa" w:w="2520"/>
          </w:tcPr>
          <w:p>
            <w:pPr>
              <w:spacing w:after="0"/>
            </w:pPr>
            <w:r>
              <w:rPr>
                <w:sz w:val="14"/>
              </w:rPr>
              <w:t>68 non-random employers; 2,854 apprentices represented</w:t>
            </w:r>
          </w:p>
        </w:tc>
        <w:tc>
          <w:tcPr>
            <w:tcW w:type="dxa" w:w="2520"/>
          </w:tcPr>
          <w:p>
            <w:pPr>
              <w:spacing w:after="0"/>
            </w:pPr>
            <w:r>
              <w:rPr>
                <w:sz w:val="14"/>
              </w:rPr>
              <w:t>46/68 employers had positive five-year net return; median $144 per $100 invested.</w:t>
            </w:r>
          </w:p>
        </w:tc>
        <w:tc>
          <w:tcPr>
            <w:tcW w:type="dxa" w:w="2520"/>
          </w:tcPr>
          <w:p>
            <w:pPr>
              <w:spacing w:after="0"/>
            </w:pPr>
            <w:r>
              <w:rPr>
                <w:sz w:val="14"/>
              </w:rPr>
              <w:t>Non-random employer sample; projections and apprenticeship context limit transfer.</w:t>
            </w:r>
          </w:p>
        </w:tc>
      </w:tr>
      <w:tr>
        <w:tc>
          <w:tcPr>
            <w:tcW w:type="dxa" w:w="2520"/>
          </w:tcPr>
          <w:p>
            <w:pPr>
              <w:spacing w:after="0"/>
            </w:pPr>
            <w:r>
              <w:rPr>
                <w:sz w:val="14"/>
              </w:rPr>
              <w:t>Millennium Challenge Corporation, Education &amp; Workforce Development CBA Guidance</w:t>
            </w:r>
          </w:p>
        </w:tc>
        <w:tc>
          <w:tcPr>
            <w:tcW w:type="dxa" w:w="2520"/>
          </w:tcPr>
          <w:p>
            <w:pPr>
              <w:spacing w:after="0"/>
            </w:pPr>
            <w:r>
              <w:rPr>
                <w:sz w:val="14"/>
              </w:rPr>
              <w:t>Formal workforce/education CBA methodology</w:t>
            </w:r>
          </w:p>
        </w:tc>
        <w:tc>
          <w:tcPr>
            <w:tcW w:type="dxa" w:w="2520"/>
          </w:tcPr>
          <w:p>
            <w:pPr>
              <w:spacing w:after="0"/>
            </w:pPr>
            <w:r>
              <w:rPr>
                <w:sz w:val="14"/>
              </w:rPr>
              <w:t>Requires counterfactual, all costs/benefits, time horizon, discounting, sensitivity and distributional analysis.</w:t>
            </w:r>
          </w:p>
        </w:tc>
        <w:tc>
          <w:tcPr>
            <w:tcW w:type="dxa" w:w="2520"/>
          </w:tcPr>
          <w:p>
            <w:pPr>
              <w:spacing w:after="0"/>
            </w:pPr>
            <w:r>
              <w:rPr>
                <w:sz w:val="14"/>
              </w:rPr>
              <w:t>Method guidance, not ResolveCX outcome evidence.</w:t>
            </w:r>
          </w:p>
        </w:tc>
      </w:tr>
      <w:tr>
        <w:tc>
          <w:tcPr>
            <w:tcW w:type="dxa" w:w="2520"/>
          </w:tcPr>
          <w:p>
            <w:pPr>
              <w:spacing w:after="0"/>
            </w:pPr>
            <w:r>
              <w:rPr>
                <w:sz w:val="14"/>
              </w:rPr>
              <w:t>U.S. DOL, RESEA Cost-Benefit Analysis Handbook (2024)</w:t>
            </w:r>
          </w:p>
        </w:tc>
        <w:tc>
          <w:tcPr>
            <w:tcW w:type="dxa" w:w="2520"/>
          </w:tcPr>
          <w:p>
            <w:pPr>
              <w:spacing w:after="0"/>
            </w:pPr>
            <w:r>
              <w:rPr>
                <w:sz w:val="14"/>
              </w:rPr>
              <w:t>Federal evaluation guidance</w:t>
            </w:r>
          </w:p>
        </w:tc>
        <w:tc>
          <w:tcPr>
            <w:tcW w:type="dxa" w:w="2520"/>
          </w:tcPr>
          <w:p>
            <w:pPr>
              <w:spacing w:after="0"/>
            </w:pPr>
            <w:r>
              <w:rPr>
                <w:sz w:val="14"/>
              </w:rPr>
              <w:t>Integrates monetary benefits/costs with impact evaluation and uncertainty.</w:t>
            </w:r>
          </w:p>
        </w:tc>
        <w:tc>
          <w:tcPr>
            <w:tcW w:type="dxa" w:w="2520"/>
          </w:tcPr>
          <w:p>
            <w:pPr>
              <w:spacing w:after="0"/>
            </w:pPr>
            <w:r>
              <w:rPr>
                <w:sz w:val="14"/>
              </w:rPr>
              <w:t>Program context differs from contact centers.</w:t>
            </w:r>
          </w:p>
        </w:tc>
      </w:tr>
      <w:tr>
        <w:tc>
          <w:tcPr>
            <w:tcW w:type="dxa" w:w="2520"/>
          </w:tcPr>
          <w:p>
            <w:pPr>
              <w:spacing w:after="0"/>
            </w:pPr>
            <w:r>
              <w:rPr>
                <w:sz w:val="14"/>
              </w:rPr>
              <w:t>Batt &amp; Colvin, Academy of Management Journal</w:t>
            </w:r>
          </w:p>
        </w:tc>
        <w:tc>
          <w:tcPr>
            <w:tcW w:type="dxa" w:w="2520"/>
          </w:tcPr>
          <w:p>
            <w:pPr>
              <w:spacing w:after="0"/>
            </w:pPr>
            <w:r>
              <w:rPr>
                <w:sz w:val="14"/>
              </w:rPr>
              <w:t>Nationally representative call-center establishment surveys; cross-sectional/longitudinal</w:t>
            </w:r>
          </w:p>
        </w:tc>
        <w:tc>
          <w:tcPr>
            <w:tcW w:type="dxa" w:w="2520"/>
          </w:tcPr>
          <w:p>
            <w:pPr>
              <w:spacing w:after="0"/>
            </w:pPr>
            <w:r>
              <w:rPr>
                <w:sz w:val="14"/>
              </w:rPr>
              <w:t>High-involvement/long-term investments associated with lower quits/dismissals; higher turnover associated with lower customer service.</w:t>
            </w:r>
          </w:p>
        </w:tc>
        <w:tc>
          <w:tcPr>
            <w:tcW w:type="dxa" w:w="2520"/>
          </w:tcPr>
          <w:p>
            <w:pPr>
              <w:spacing w:after="0"/>
            </w:pPr>
            <w:r>
              <w:rPr>
                <w:sz w:val="14"/>
              </w:rPr>
              <w:t>Does not price a ResolveCX intervention or establish readiness ROI.</w:t>
            </w:r>
          </w:p>
        </w:tc>
      </w:tr>
      <w:tr>
        <w:tc>
          <w:tcPr>
            <w:tcW w:type="dxa" w:w="2520"/>
          </w:tcPr>
          <w:p>
            <w:pPr>
              <w:spacing w:after="0"/>
            </w:pPr>
            <w:r>
              <w:rPr>
                <w:sz w:val="14"/>
              </w:rPr>
              <w:t>Understanding ROI from TVET, NCVER (2020)</w:t>
            </w:r>
          </w:p>
        </w:tc>
        <w:tc>
          <w:tcPr>
            <w:tcW w:type="dxa" w:w="2520"/>
          </w:tcPr>
          <w:p>
            <w:pPr>
              <w:spacing w:after="0"/>
            </w:pPr>
            <w:r>
              <w:rPr>
                <w:sz w:val="14"/>
              </w:rPr>
              <w:t>Practical ROI framework</w:t>
            </w:r>
          </w:p>
        </w:tc>
        <w:tc>
          <w:tcPr>
            <w:tcW w:type="dxa" w:w="2520"/>
          </w:tcPr>
          <w:p>
            <w:pPr>
              <w:spacing w:after="0"/>
            </w:pPr>
            <w:r>
              <w:rPr>
                <w:sz w:val="14"/>
              </w:rPr>
              <w:t>Separates ROI perspectives for individuals, businesses and society; stresses scope, context, costs and benefits.</w:t>
            </w:r>
          </w:p>
        </w:tc>
        <w:tc>
          <w:tcPr>
            <w:tcW w:type="dxa" w:w="2520"/>
          </w:tcPr>
          <w:p>
            <w:pPr>
              <w:spacing w:after="0"/>
            </w:pPr>
            <w:r>
              <w:rPr>
                <w:sz w:val="14"/>
              </w:rPr>
              <w:t>Framework guidance; not contact-center evidence.</w:t>
            </w:r>
          </w:p>
        </w:tc>
      </w:tr>
      <w:tr>
        <w:tc>
          <w:tcPr>
            <w:tcW w:type="dxa" w:w="2520"/>
          </w:tcPr>
          <w:p>
            <w:pPr>
              <w:spacing w:after="0"/>
            </w:pPr>
            <w:r>
              <w:rPr>
                <w:sz w:val="14"/>
              </w:rPr>
              <w:t>Longitudinal turnover-cost methodology in EMS</w:t>
            </w:r>
          </w:p>
        </w:tc>
        <w:tc>
          <w:tcPr>
            <w:tcW w:type="dxa" w:w="2520"/>
          </w:tcPr>
          <w:p>
            <w:pPr>
              <w:spacing w:after="0"/>
            </w:pPr>
            <w:r>
              <w:rPr>
                <w:sz w:val="14"/>
              </w:rPr>
              <w:t>Longitudinal cost study</w:t>
            </w:r>
          </w:p>
        </w:tc>
        <w:tc>
          <w:tcPr>
            <w:tcW w:type="dxa" w:w="2520"/>
          </w:tcPr>
          <w:p>
            <w:pPr>
              <w:spacing w:after="0"/>
            </w:pPr>
            <w:r>
              <w:rPr>
                <w:sz w:val="14"/>
              </w:rPr>
              <w:t>Provides transparent components for hiring, orientation/training and new-hire productivity costs.</w:t>
            </w:r>
          </w:p>
        </w:tc>
        <w:tc>
          <w:tcPr>
            <w:tcW w:type="dxa" w:w="2520"/>
          </w:tcPr>
          <w:p>
            <w:pPr>
              <w:spacing w:after="0"/>
            </w:pPr>
            <w:r>
              <w:rPr>
                <w:sz w:val="14"/>
              </w:rPr>
              <w:t>Different occupation; unit costs cannot be imported into contact centers.</w:t>
            </w:r>
          </w:p>
        </w:tc>
      </w:tr>
      <w:tr>
        <w:tc>
          <w:tcPr>
            <w:tcW w:type="dxa" w:w="2520"/>
          </w:tcPr>
          <w:p>
            <w:pPr>
              <w:spacing w:after="0"/>
            </w:pPr>
            <w:r>
              <w:rPr>
                <w:sz w:val="14"/>
              </w:rPr>
              <w:t>Study #006 workforce/credential evidence</w:t>
            </w:r>
          </w:p>
        </w:tc>
        <w:tc>
          <w:tcPr>
            <w:tcW w:type="dxa" w:w="2520"/>
          </w:tcPr>
          <w:p>
            <w:pPr>
              <w:spacing w:after="0"/>
            </w:pPr>
            <w:r>
              <w:rPr>
                <w:sz w:val="14"/>
              </w:rPr>
              <w:t>Administrative/quasi-experimental pathway evidence</w:t>
            </w:r>
          </w:p>
        </w:tc>
        <w:tc>
          <w:tcPr>
            <w:tcW w:type="dxa" w:w="2520"/>
          </w:tcPr>
          <w:p>
            <w:pPr>
              <w:spacing w:after="0"/>
            </w:pPr>
            <w:r>
              <w:rPr>
                <w:sz w:val="14"/>
              </w:rPr>
              <w:t>Shows participant/employer returns can be real but heterogeneous and conditional.</w:t>
            </w:r>
          </w:p>
        </w:tc>
        <w:tc>
          <w:tcPr>
            <w:tcW w:type="dxa" w:w="2520"/>
          </w:tcPr>
          <w:p>
            <w:pPr>
              <w:spacing w:after="0"/>
            </w:pPr>
            <w:r>
              <w:rPr>
                <w:sz w:val="14"/>
              </w:rPr>
              <w:t>Must not double-count benefits across #006 and #008.</w:t>
            </w:r>
          </w:p>
        </w:tc>
      </w:tr>
    </w:tbl>
    <w:p>
      <w:pPr>
        <w:pStyle w:val="Heading1"/>
      </w:pPr>
      <w:r>
        <w:t>10. Cost Taxonomy</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Cost family</w:t>
            </w:r>
          </w:p>
        </w:tc>
        <w:tc>
          <w:tcPr>
            <w:tcW w:type="dxa" w:w="3360"/>
            <w:shd w:fill="0B3A53"/>
          </w:tcPr>
          <w:p>
            <w:r>
              <w:rPr>
                <w:b/>
                <w:color w:val="FFFFFF"/>
                <w:sz w:val="15"/>
              </w:rPr>
              <w:t>Examples</w:t>
            </w:r>
          </w:p>
        </w:tc>
        <w:tc>
          <w:tcPr>
            <w:tcW w:type="dxa" w:w="3360"/>
            <w:shd w:fill="0B3A53"/>
          </w:tcPr>
          <w:p>
            <w:r>
              <w:rPr>
                <w:b/>
                <w:color w:val="FFFFFF"/>
                <w:sz w:val="15"/>
              </w:rPr>
              <w:t>Rule</w:t>
            </w:r>
          </w:p>
        </w:tc>
      </w:tr>
      <w:tr>
        <w:tc>
          <w:tcPr>
            <w:tcW w:type="dxa" w:w="3360"/>
          </w:tcPr>
          <w:p>
            <w:pPr>
              <w:spacing w:after="0"/>
            </w:pPr>
            <w:r>
              <w:rPr>
                <w:sz w:val="15"/>
              </w:rPr>
              <w:t>Design/development</w:t>
            </w:r>
          </w:p>
        </w:tc>
        <w:tc>
          <w:tcPr>
            <w:tcW w:type="dxa" w:w="3360"/>
          </w:tcPr>
          <w:p>
            <w:pPr>
              <w:spacing w:after="0"/>
            </w:pPr>
            <w:r>
              <w:rPr>
                <w:sz w:val="15"/>
              </w:rPr>
              <w:t>Research, curriculum, assessment, content, validation</w:t>
            </w:r>
          </w:p>
        </w:tc>
        <w:tc>
          <w:tcPr>
            <w:tcW w:type="dxa" w:w="3360"/>
          </w:tcPr>
          <w:p>
            <w:pPr>
              <w:spacing w:after="0"/>
            </w:pPr>
            <w:r>
              <w:rPr>
                <w:sz w:val="15"/>
              </w:rPr>
              <w:t>Amortize only with justified useful life/scale assumptions</w:t>
            </w:r>
          </w:p>
        </w:tc>
      </w:tr>
      <w:tr>
        <w:tc>
          <w:tcPr>
            <w:tcW w:type="dxa" w:w="3360"/>
          </w:tcPr>
          <w:p>
            <w:pPr>
              <w:spacing w:after="0"/>
            </w:pPr>
            <w:r>
              <w:rPr>
                <w:sz w:val="15"/>
              </w:rPr>
              <w:t>Delivery</w:t>
            </w:r>
          </w:p>
        </w:tc>
        <w:tc>
          <w:tcPr>
            <w:tcW w:type="dxa" w:w="3360"/>
          </w:tcPr>
          <w:p>
            <w:pPr>
              <w:spacing w:after="0"/>
            </w:pPr>
            <w:r>
              <w:rPr>
                <w:sz w:val="15"/>
              </w:rPr>
              <w:t>Facilitator, coaching, platform, materials, facilities</w:t>
            </w:r>
          </w:p>
        </w:tc>
        <w:tc>
          <w:tcPr>
            <w:tcW w:type="dxa" w:w="3360"/>
          </w:tcPr>
          <w:p>
            <w:pPr>
              <w:spacing w:after="0"/>
            </w:pPr>
            <w:r>
              <w:rPr>
                <w:sz w:val="15"/>
              </w:rPr>
              <w:t>Use actual resource cost, not only invoice price</w:t>
            </w:r>
          </w:p>
        </w:tc>
      </w:tr>
      <w:tr>
        <w:tc>
          <w:tcPr>
            <w:tcW w:type="dxa" w:w="3360"/>
          </w:tcPr>
          <w:p>
            <w:pPr>
              <w:spacing w:after="0"/>
            </w:pPr>
            <w:r>
              <w:rPr>
                <w:sz w:val="15"/>
              </w:rPr>
              <w:t>Participant</w:t>
            </w:r>
          </w:p>
        </w:tc>
        <w:tc>
          <w:tcPr>
            <w:tcW w:type="dxa" w:w="3360"/>
          </w:tcPr>
          <w:p>
            <w:pPr>
              <w:spacing w:after="0"/>
            </w:pPr>
            <w:r>
              <w:rPr>
                <w:sz w:val="15"/>
              </w:rPr>
              <w:t>Paid learning time, unpaid time, fees, travel/technology where applicable</w:t>
            </w:r>
          </w:p>
        </w:tc>
        <w:tc>
          <w:tcPr>
            <w:tcW w:type="dxa" w:w="3360"/>
          </w:tcPr>
          <w:p>
            <w:pPr>
              <w:spacing w:after="0"/>
            </w:pPr>
            <w:r>
              <w:rPr>
                <w:sz w:val="15"/>
              </w:rPr>
              <w:t>Keep participant incidence visible</w:t>
            </w:r>
          </w:p>
        </w:tc>
      </w:tr>
      <w:tr>
        <w:tc>
          <w:tcPr>
            <w:tcW w:type="dxa" w:w="3360"/>
          </w:tcPr>
          <w:p>
            <w:pPr>
              <w:spacing w:after="0"/>
            </w:pPr>
            <w:r>
              <w:rPr>
                <w:sz w:val="15"/>
              </w:rPr>
              <w:t>Employer implementation</w:t>
            </w:r>
          </w:p>
        </w:tc>
        <w:tc>
          <w:tcPr>
            <w:tcW w:type="dxa" w:w="3360"/>
          </w:tcPr>
          <w:p>
            <w:pPr>
              <w:spacing w:after="0"/>
            </w:pPr>
            <w:r>
              <w:rPr>
                <w:sz w:val="15"/>
              </w:rPr>
              <w:t>Manager time, scheduling, backfill, data integration, workflow disruption</w:t>
            </w:r>
          </w:p>
        </w:tc>
        <w:tc>
          <w:tcPr>
            <w:tcW w:type="dxa" w:w="3360"/>
          </w:tcPr>
          <w:p>
            <w:pPr>
              <w:spacing w:after="0"/>
            </w:pPr>
            <w:r>
              <w:rPr>
                <w:sz w:val="15"/>
              </w:rPr>
              <w:t>Do not hide internal labor</w:t>
            </w:r>
          </w:p>
        </w:tc>
      </w:tr>
      <w:tr>
        <w:tc>
          <w:tcPr>
            <w:tcW w:type="dxa" w:w="3360"/>
          </w:tcPr>
          <w:p>
            <w:pPr>
              <w:spacing w:after="0"/>
            </w:pPr>
            <w:r>
              <w:rPr>
                <w:sz w:val="15"/>
              </w:rPr>
              <w:t>Technology</w:t>
            </w:r>
          </w:p>
        </w:tc>
        <w:tc>
          <w:tcPr>
            <w:tcW w:type="dxa" w:w="3360"/>
          </w:tcPr>
          <w:p>
            <w:pPr>
              <w:spacing w:after="0"/>
            </w:pPr>
            <w:r>
              <w:rPr>
                <w:sz w:val="15"/>
              </w:rPr>
              <w:t>Licenses, integrations, AI/tools, support, maintenance</w:t>
            </w:r>
          </w:p>
        </w:tc>
        <w:tc>
          <w:tcPr>
            <w:tcW w:type="dxa" w:w="3360"/>
          </w:tcPr>
          <w:p>
            <w:pPr>
              <w:spacing w:after="0"/>
            </w:pPr>
            <w:r>
              <w:rPr>
                <w:sz w:val="15"/>
              </w:rPr>
              <w:t>Include recurring and change costs</w:t>
            </w:r>
          </w:p>
        </w:tc>
      </w:tr>
      <w:tr>
        <w:tc>
          <w:tcPr>
            <w:tcW w:type="dxa" w:w="3360"/>
          </w:tcPr>
          <w:p>
            <w:pPr>
              <w:spacing w:after="0"/>
            </w:pPr>
            <w:r>
              <w:rPr>
                <w:sz w:val="15"/>
              </w:rPr>
              <w:t>Governance/evaluation</w:t>
            </w:r>
          </w:p>
        </w:tc>
        <w:tc>
          <w:tcPr>
            <w:tcW w:type="dxa" w:w="3360"/>
          </w:tcPr>
          <w:p>
            <w:pPr>
              <w:spacing w:after="0"/>
            </w:pPr>
            <w:r>
              <w:rPr>
                <w:sz w:val="15"/>
              </w:rPr>
              <w:t>Measurement, privacy/security, compliance, research/evaluation</w:t>
            </w:r>
          </w:p>
        </w:tc>
        <w:tc>
          <w:tcPr>
            <w:tcW w:type="dxa" w:w="3360"/>
          </w:tcPr>
          <w:p>
            <w:pPr>
              <w:spacing w:after="0"/>
            </w:pPr>
            <w:r>
              <w:rPr>
                <w:sz w:val="15"/>
              </w:rPr>
              <w:t>Required evidence/governance is part of cost</w:t>
            </w:r>
          </w:p>
        </w:tc>
      </w:tr>
      <w:tr>
        <w:tc>
          <w:tcPr>
            <w:tcW w:type="dxa" w:w="3360"/>
          </w:tcPr>
          <w:p>
            <w:pPr>
              <w:spacing w:after="0"/>
            </w:pPr>
            <w:r>
              <w:rPr>
                <w:sz w:val="15"/>
              </w:rPr>
              <w:t>Opportunity cost</w:t>
            </w:r>
          </w:p>
        </w:tc>
        <w:tc>
          <w:tcPr>
            <w:tcW w:type="dxa" w:w="3360"/>
          </w:tcPr>
          <w:p>
            <w:pPr>
              <w:spacing w:after="0"/>
            </w:pPr>
            <w:r>
              <w:rPr>
                <w:sz w:val="15"/>
              </w:rPr>
              <w:t>Foregone production or alternative investment</w:t>
            </w:r>
          </w:p>
        </w:tc>
        <w:tc>
          <w:tcPr>
            <w:tcW w:type="dxa" w:w="3360"/>
          </w:tcPr>
          <w:p>
            <w:pPr>
              <w:spacing w:after="0"/>
            </w:pPr>
            <w:r>
              <w:rPr>
                <w:sz w:val="15"/>
              </w:rPr>
              <w:t>Include when material and defensible</w:t>
            </w:r>
          </w:p>
        </w:tc>
      </w:tr>
      <w:tr>
        <w:tc>
          <w:tcPr>
            <w:tcW w:type="dxa" w:w="3360"/>
          </w:tcPr>
          <w:p>
            <w:pPr>
              <w:spacing w:after="0"/>
            </w:pPr>
            <w:r>
              <w:rPr>
                <w:sz w:val="15"/>
              </w:rPr>
              <w:t>Scale/maintenance</w:t>
            </w:r>
          </w:p>
        </w:tc>
        <w:tc>
          <w:tcPr>
            <w:tcW w:type="dxa" w:w="3360"/>
          </w:tcPr>
          <w:p>
            <w:pPr>
              <w:spacing w:after="0"/>
            </w:pPr>
            <w:r>
              <w:rPr>
                <w:sz w:val="15"/>
              </w:rPr>
              <w:t>Updates, retraining, QA, partner management</w:t>
            </w:r>
          </w:p>
        </w:tc>
        <w:tc>
          <w:tcPr>
            <w:tcW w:type="dxa" w:w="3360"/>
          </w:tcPr>
          <w:p>
            <w:pPr>
              <w:spacing w:after="0"/>
            </w:pPr>
            <w:r>
              <w:rPr>
                <w:sz w:val="15"/>
              </w:rPr>
              <w:t>Do not assume one-time build cost</w:t>
            </w:r>
          </w:p>
        </w:tc>
      </w:tr>
    </w:tbl>
    <w:p>
      <w:pPr>
        <w:pStyle w:val="Heading1"/>
      </w:pPr>
      <w:r>
        <w:t>11. Benefit Taxonomy</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Benefit family</w:t>
            </w:r>
          </w:p>
        </w:tc>
        <w:tc>
          <w:tcPr>
            <w:tcW w:type="dxa" w:w="3360"/>
            <w:shd w:fill="0B3A53"/>
          </w:tcPr>
          <w:p>
            <w:r>
              <w:rPr>
                <w:b/>
                <w:color w:val="FFFFFF"/>
                <w:sz w:val="15"/>
              </w:rPr>
              <w:t>Potential metric</w:t>
            </w:r>
          </w:p>
        </w:tc>
        <w:tc>
          <w:tcPr>
            <w:tcW w:type="dxa" w:w="3360"/>
            <w:shd w:fill="0B3A53"/>
          </w:tcPr>
          <w:p>
            <w:r>
              <w:rPr>
                <w:b/>
                <w:color w:val="FFFFFF"/>
                <w:sz w:val="15"/>
              </w:rPr>
              <w:t>Monetization boundary</w:t>
            </w:r>
          </w:p>
        </w:tc>
      </w:tr>
      <w:tr>
        <w:tc>
          <w:tcPr>
            <w:tcW w:type="dxa" w:w="3360"/>
          </w:tcPr>
          <w:p>
            <w:pPr>
              <w:spacing w:after="0"/>
            </w:pPr>
            <w:r>
              <w:rPr>
                <w:sz w:val="15"/>
              </w:rPr>
              <w:t>Recruiting/hiring</w:t>
            </w:r>
          </w:p>
        </w:tc>
        <w:tc>
          <w:tcPr>
            <w:tcW w:type="dxa" w:w="3360"/>
          </w:tcPr>
          <w:p>
            <w:pPr>
              <w:spacing w:after="0"/>
            </w:pPr>
            <w:r>
              <w:rPr>
                <w:sz w:val="15"/>
              </w:rPr>
              <w:t>Avoided recruiting events, vacancy duration</w:t>
            </w:r>
          </w:p>
        </w:tc>
        <w:tc>
          <w:tcPr>
            <w:tcW w:type="dxa" w:w="3360"/>
          </w:tcPr>
          <w:p>
            <w:pPr>
              <w:spacing w:after="0"/>
            </w:pPr>
            <w:r>
              <w:rPr>
                <w:sz w:val="15"/>
              </w:rPr>
              <w:t>Use employer unit cost; avoid generic turnover multipliers</w:t>
            </w:r>
          </w:p>
        </w:tc>
      </w:tr>
      <w:tr>
        <w:tc>
          <w:tcPr>
            <w:tcW w:type="dxa" w:w="3360"/>
          </w:tcPr>
          <w:p>
            <w:pPr>
              <w:spacing w:after="0"/>
            </w:pPr>
            <w:r>
              <w:rPr>
                <w:sz w:val="15"/>
              </w:rPr>
              <w:t>Training completion</w:t>
            </w:r>
          </w:p>
        </w:tc>
        <w:tc>
          <w:tcPr>
            <w:tcW w:type="dxa" w:w="3360"/>
          </w:tcPr>
          <w:p>
            <w:pPr>
              <w:spacing w:after="0"/>
            </w:pPr>
            <w:r>
              <w:rPr>
                <w:sz w:val="15"/>
              </w:rPr>
              <w:t>Avoided wasted training spend</w:t>
            </w:r>
          </w:p>
        </w:tc>
        <w:tc>
          <w:tcPr>
            <w:tcW w:type="dxa" w:w="3360"/>
          </w:tcPr>
          <w:p>
            <w:pPr>
              <w:spacing w:after="0"/>
            </w:pPr>
            <w:r>
              <w:rPr>
                <w:sz w:val="15"/>
              </w:rPr>
              <w:t>Count only incremental avoided loss</w:t>
            </w:r>
          </w:p>
        </w:tc>
      </w:tr>
      <w:tr>
        <w:tc>
          <w:tcPr>
            <w:tcW w:type="dxa" w:w="3360"/>
          </w:tcPr>
          <w:p>
            <w:pPr>
              <w:spacing w:after="0"/>
            </w:pPr>
            <w:r>
              <w:rPr>
                <w:sz w:val="15"/>
              </w:rPr>
              <w:t>Time-to-proficiency</w:t>
            </w:r>
          </w:p>
        </w:tc>
        <w:tc>
          <w:tcPr>
            <w:tcW w:type="dxa" w:w="3360"/>
          </w:tcPr>
          <w:p>
            <w:pPr>
              <w:spacing w:after="0"/>
            </w:pPr>
            <w:r>
              <w:rPr>
                <w:sz w:val="15"/>
              </w:rPr>
              <w:t>Earlier quality-adjusted productive output</w:t>
            </w:r>
          </w:p>
        </w:tc>
        <w:tc>
          <w:tcPr>
            <w:tcW w:type="dxa" w:w="3360"/>
          </w:tcPr>
          <w:p>
            <w:pPr>
              <w:spacing w:after="0"/>
            </w:pPr>
            <w:r>
              <w:rPr>
                <w:sz w:val="15"/>
              </w:rPr>
              <w:t>Value incremental productive capacity, not gross wages automatically</w:t>
            </w:r>
          </w:p>
        </w:tc>
      </w:tr>
      <w:tr>
        <w:tc>
          <w:tcPr>
            <w:tcW w:type="dxa" w:w="3360"/>
          </w:tcPr>
          <w:p>
            <w:pPr>
              <w:spacing w:after="0"/>
            </w:pPr>
            <w:r>
              <w:rPr>
                <w:sz w:val="15"/>
              </w:rPr>
              <w:t>Retention</w:t>
            </w:r>
          </w:p>
        </w:tc>
        <w:tc>
          <w:tcPr>
            <w:tcW w:type="dxa" w:w="3360"/>
          </w:tcPr>
          <w:p>
            <w:pPr>
              <w:spacing w:after="0"/>
            </w:pPr>
            <w:r>
              <w:rPr>
                <w:sz w:val="15"/>
              </w:rPr>
              <w:t>Avoided replacement/ramp/vacancy cost</w:t>
            </w:r>
          </w:p>
        </w:tc>
        <w:tc>
          <w:tcPr>
            <w:tcW w:type="dxa" w:w="3360"/>
          </w:tcPr>
          <w:p>
            <w:pPr>
              <w:spacing w:after="0"/>
            </w:pPr>
            <w:r>
              <w:rPr>
                <w:sz w:val="15"/>
              </w:rPr>
              <w:t>Separate regrettable/avoidable turnover; prevent double counting with hiring/training</w:t>
            </w:r>
          </w:p>
        </w:tc>
      </w:tr>
      <w:tr>
        <w:tc>
          <w:tcPr>
            <w:tcW w:type="dxa" w:w="3360"/>
          </w:tcPr>
          <w:p>
            <w:pPr>
              <w:spacing w:after="0"/>
            </w:pPr>
            <w:r>
              <w:rPr>
                <w:sz w:val="15"/>
              </w:rPr>
              <w:t>Productivity/capacity</w:t>
            </w:r>
          </w:p>
        </w:tc>
        <w:tc>
          <w:tcPr>
            <w:tcW w:type="dxa" w:w="3360"/>
          </w:tcPr>
          <w:p>
            <w:pPr>
              <w:spacing w:after="0"/>
            </w:pPr>
            <w:r>
              <w:rPr>
                <w:sz w:val="15"/>
              </w:rPr>
              <w:t>Quality-adjusted additional output or time released</w:t>
            </w:r>
          </w:p>
        </w:tc>
        <w:tc>
          <w:tcPr>
            <w:tcW w:type="dxa" w:w="3360"/>
          </w:tcPr>
          <w:p>
            <w:pPr>
              <w:spacing w:after="0"/>
            </w:pPr>
            <w:r>
              <w:rPr>
                <w:sz w:val="15"/>
              </w:rPr>
              <w:t>Value only if capacity is used/capturable</w:t>
            </w:r>
          </w:p>
        </w:tc>
      </w:tr>
      <w:tr>
        <w:tc>
          <w:tcPr>
            <w:tcW w:type="dxa" w:w="3360"/>
          </w:tcPr>
          <w:p>
            <w:pPr>
              <w:spacing w:after="0"/>
            </w:pPr>
            <w:r>
              <w:rPr>
                <w:sz w:val="15"/>
              </w:rPr>
              <w:t>Quality/rework</w:t>
            </w:r>
          </w:p>
        </w:tc>
        <w:tc>
          <w:tcPr>
            <w:tcW w:type="dxa" w:w="3360"/>
          </w:tcPr>
          <w:p>
            <w:pPr>
              <w:spacing w:after="0"/>
            </w:pPr>
            <w:r>
              <w:rPr>
                <w:sz w:val="15"/>
              </w:rPr>
              <w:t>Reduced repeat contacts, errors, corrections, complaints</w:t>
            </w:r>
          </w:p>
        </w:tc>
        <w:tc>
          <w:tcPr>
            <w:tcW w:type="dxa" w:w="3360"/>
          </w:tcPr>
          <w:p>
            <w:pPr>
              <w:spacing w:after="0"/>
            </w:pPr>
            <w:r>
              <w:rPr>
                <w:sz w:val="15"/>
              </w:rPr>
              <w:t>Use observable downstream resource cost</w:t>
            </w:r>
          </w:p>
        </w:tc>
      </w:tr>
      <w:tr>
        <w:tc>
          <w:tcPr>
            <w:tcW w:type="dxa" w:w="3360"/>
          </w:tcPr>
          <w:p>
            <w:pPr>
              <w:spacing w:after="0"/>
            </w:pPr>
            <w:r>
              <w:rPr>
                <w:sz w:val="15"/>
              </w:rPr>
              <w:t>Customer</w:t>
            </w:r>
          </w:p>
        </w:tc>
        <w:tc>
          <w:tcPr>
            <w:tcW w:type="dxa" w:w="3360"/>
          </w:tcPr>
          <w:p>
            <w:pPr>
              <w:spacing w:after="0"/>
            </w:pPr>
            <w:r>
              <w:rPr>
                <w:sz w:val="15"/>
              </w:rPr>
              <w:t>Retention/revenue/trust where causally linked</w:t>
            </w:r>
          </w:p>
        </w:tc>
        <w:tc>
          <w:tcPr>
            <w:tcW w:type="dxa" w:w="3360"/>
          </w:tcPr>
          <w:p>
            <w:pPr>
              <w:spacing w:after="0"/>
            </w:pPr>
            <w:r>
              <w:rPr>
                <w:sz w:val="15"/>
              </w:rPr>
              <w:t>Do not monetize speculative NPS/CSAT movement</w:t>
            </w:r>
          </w:p>
        </w:tc>
      </w:tr>
      <w:tr>
        <w:tc>
          <w:tcPr>
            <w:tcW w:type="dxa" w:w="3360"/>
          </w:tcPr>
          <w:p>
            <w:pPr>
              <w:spacing w:after="0"/>
            </w:pPr>
            <w:r>
              <w:rPr>
                <w:sz w:val="15"/>
              </w:rPr>
              <w:t>Supervisor capacity</w:t>
            </w:r>
          </w:p>
        </w:tc>
        <w:tc>
          <w:tcPr>
            <w:tcW w:type="dxa" w:w="3360"/>
          </w:tcPr>
          <w:p>
            <w:pPr>
              <w:spacing w:after="0"/>
            </w:pPr>
            <w:r>
              <w:rPr>
                <w:sz w:val="15"/>
              </w:rPr>
              <w:t>Reduced remedial coaching/escalation burden</w:t>
            </w:r>
          </w:p>
        </w:tc>
        <w:tc>
          <w:tcPr>
            <w:tcW w:type="dxa" w:w="3360"/>
          </w:tcPr>
          <w:p>
            <w:pPr>
              <w:spacing w:after="0"/>
            </w:pPr>
            <w:r>
              <w:rPr>
                <w:sz w:val="15"/>
              </w:rPr>
              <w:t>Measure actual time/resource change</w:t>
            </w:r>
          </w:p>
        </w:tc>
      </w:tr>
      <w:tr>
        <w:tc>
          <w:tcPr>
            <w:tcW w:type="dxa" w:w="3360"/>
          </w:tcPr>
          <w:p>
            <w:pPr>
              <w:spacing w:after="0"/>
            </w:pPr>
            <w:r>
              <w:rPr>
                <w:sz w:val="15"/>
              </w:rPr>
              <w:t>Worker economic mobility</w:t>
            </w:r>
          </w:p>
        </w:tc>
        <w:tc>
          <w:tcPr>
            <w:tcW w:type="dxa" w:w="3360"/>
          </w:tcPr>
          <w:p>
            <w:pPr>
              <w:spacing w:after="0"/>
            </w:pPr>
            <w:r>
              <w:rPr>
                <w:sz w:val="15"/>
              </w:rPr>
              <w:t>Earnings, hours, benefits, stability</w:t>
            </w:r>
          </w:p>
        </w:tc>
        <w:tc>
          <w:tcPr>
            <w:tcW w:type="dxa" w:w="3360"/>
          </w:tcPr>
          <w:p>
            <w:pPr>
              <w:spacing w:after="0"/>
            </w:pPr>
            <w:r>
              <w:rPr>
                <w:sz w:val="15"/>
              </w:rPr>
              <w:t>Participant benefit; not automatically employer benefit</w:t>
            </w:r>
          </w:p>
        </w:tc>
      </w:tr>
      <w:tr>
        <w:tc>
          <w:tcPr>
            <w:tcW w:type="dxa" w:w="3360"/>
          </w:tcPr>
          <w:p>
            <w:pPr>
              <w:spacing w:after="0"/>
            </w:pPr>
            <w:r>
              <w:rPr>
                <w:sz w:val="15"/>
              </w:rPr>
              <w:t>Public/social</w:t>
            </w:r>
          </w:p>
        </w:tc>
        <w:tc>
          <w:tcPr>
            <w:tcW w:type="dxa" w:w="3360"/>
          </w:tcPr>
          <w:p>
            <w:pPr>
              <w:spacing w:after="0"/>
            </w:pPr>
            <w:r>
              <w:rPr>
                <w:sz w:val="15"/>
              </w:rPr>
              <w:t>Tax/public-support/externality effects where relevant</w:t>
            </w:r>
          </w:p>
        </w:tc>
        <w:tc>
          <w:tcPr>
            <w:tcW w:type="dxa" w:w="3360"/>
          </w:tcPr>
          <w:p>
            <w:pPr>
              <w:spacing w:after="0"/>
            </w:pPr>
            <w:r>
              <w:rPr>
                <w:sz w:val="15"/>
              </w:rPr>
              <w:t>Use only when perspective requires and evidence supports</w:t>
            </w:r>
          </w:p>
        </w:tc>
      </w:tr>
    </w:tbl>
    <w:p>
      <w:pPr>
        <w:pStyle w:val="Heading1"/>
      </w:pPr>
      <w:r>
        <w:t>12. Turnover Cost Guardrail</w:t>
      </w:r>
    </w:p>
    <w:p>
      <w:r>
        <w:t>Study #008 will not use unsupported rules such as 'turnover costs X% of salary' as primary evidence. Turnover cost will be built from employer-specific components where feasible.</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Component</w:t>
            </w:r>
          </w:p>
        </w:tc>
        <w:tc>
          <w:tcPr>
            <w:tcW w:type="dxa" w:w="5040"/>
            <w:shd w:fill="0B3A53"/>
          </w:tcPr>
          <w:p>
            <w:r>
              <w:rPr>
                <w:b/>
                <w:color w:val="FFFFFF"/>
                <w:sz w:val="15"/>
              </w:rPr>
              <w:t>Examples</w:t>
            </w:r>
          </w:p>
        </w:tc>
      </w:tr>
      <w:tr>
        <w:tc>
          <w:tcPr>
            <w:tcW w:type="dxa" w:w="5040"/>
          </w:tcPr>
          <w:p>
            <w:pPr>
              <w:spacing w:after="0"/>
            </w:pPr>
            <w:r>
              <w:rPr>
                <w:sz w:val="15"/>
              </w:rPr>
              <w:t>Separation</w:t>
            </w:r>
          </w:p>
        </w:tc>
        <w:tc>
          <w:tcPr>
            <w:tcW w:type="dxa" w:w="5040"/>
          </w:tcPr>
          <w:p>
            <w:pPr>
              <w:spacing w:after="0"/>
            </w:pPr>
            <w:r>
              <w:rPr>
                <w:sz w:val="15"/>
              </w:rPr>
              <w:t>HR/admin, offboarding, vacancy initiation</w:t>
            </w:r>
          </w:p>
        </w:tc>
      </w:tr>
      <w:tr>
        <w:tc>
          <w:tcPr>
            <w:tcW w:type="dxa" w:w="5040"/>
          </w:tcPr>
          <w:p>
            <w:pPr>
              <w:spacing w:after="0"/>
            </w:pPr>
            <w:r>
              <w:rPr>
                <w:sz w:val="15"/>
              </w:rPr>
              <w:t>Recruiting</w:t>
            </w:r>
          </w:p>
        </w:tc>
        <w:tc>
          <w:tcPr>
            <w:tcW w:type="dxa" w:w="5040"/>
          </w:tcPr>
          <w:p>
            <w:pPr>
              <w:spacing w:after="0"/>
            </w:pPr>
            <w:r>
              <w:rPr>
                <w:sz w:val="15"/>
              </w:rPr>
              <w:t>Advertising, recruiter time, screening, assessment, interviews</w:t>
            </w:r>
          </w:p>
        </w:tc>
      </w:tr>
      <w:tr>
        <w:tc>
          <w:tcPr>
            <w:tcW w:type="dxa" w:w="5040"/>
          </w:tcPr>
          <w:p>
            <w:pPr>
              <w:spacing w:after="0"/>
            </w:pPr>
            <w:r>
              <w:rPr>
                <w:sz w:val="15"/>
              </w:rPr>
              <w:t>Onboarding/training</w:t>
            </w:r>
          </w:p>
        </w:tc>
        <w:tc>
          <w:tcPr>
            <w:tcW w:type="dxa" w:w="5040"/>
          </w:tcPr>
          <w:p>
            <w:pPr>
              <w:spacing w:after="0"/>
            </w:pPr>
            <w:r>
              <w:rPr>
                <w:sz w:val="15"/>
              </w:rPr>
              <w:t>Trainer labor, learner wages, materials, systems, nesting/support</w:t>
            </w:r>
          </w:p>
        </w:tc>
      </w:tr>
      <w:tr>
        <w:tc>
          <w:tcPr>
            <w:tcW w:type="dxa" w:w="5040"/>
          </w:tcPr>
          <w:p>
            <w:pPr>
              <w:spacing w:after="0"/>
            </w:pPr>
            <w:r>
              <w:rPr>
                <w:sz w:val="15"/>
              </w:rPr>
              <w:t>Ramp productivity</w:t>
            </w:r>
          </w:p>
        </w:tc>
        <w:tc>
          <w:tcPr>
            <w:tcW w:type="dxa" w:w="5040"/>
          </w:tcPr>
          <w:p>
            <w:pPr>
              <w:spacing w:after="0"/>
            </w:pPr>
            <w:r>
              <w:rPr>
                <w:sz w:val="15"/>
              </w:rPr>
              <w:t>Difference between expected proficient output and observed learning-curve output</w:t>
            </w:r>
          </w:p>
        </w:tc>
      </w:tr>
      <w:tr>
        <w:tc>
          <w:tcPr>
            <w:tcW w:type="dxa" w:w="5040"/>
          </w:tcPr>
          <w:p>
            <w:pPr>
              <w:spacing w:after="0"/>
            </w:pPr>
            <w:r>
              <w:rPr>
                <w:sz w:val="15"/>
              </w:rPr>
              <w:t>Quality/rework</w:t>
            </w:r>
          </w:p>
        </w:tc>
        <w:tc>
          <w:tcPr>
            <w:tcW w:type="dxa" w:w="5040"/>
          </w:tcPr>
          <w:p>
            <w:pPr>
              <w:spacing w:after="0"/>
            </w:pPr>
            <w:r>
              <w:rPr>
                <w:sz w:val="15"/>
              </w:rPr>
              <w:t>Errors, repeat contacts, escalations attributable to ramp where measurable</w:t>
            </w:r>
          </w:p>
        </w:tc>
      </w:tr>
      <w:tr>
        <w:tc>
          <w:tcPr>
            <w:tcW w:type="dxa" w:w="5040"/>
          </w:tcPr>
          <w:p>
            <w:pPr>
              <w:spacing w:after="0"/>
            </w:pPr>
            <w:r>
              <w:rPr>
                <w:sz w:val="15"/>
              </w:rPr>
              <w:t>Supervisor/peer load</w:t>
            </w:r>
          </w:p>
        </w:tc>
        <w:tc>
          <w:tcPr>
            <w:tcW w:type="dxa" w:w="5040"/>
          </w:tcPr>
          <w:p>
            <w:pPr>
              <w:spacing w:after="0"/>
            </w:pPr>
            <w:r>
              <w:rPr>
                <w:sz w:val="15"/>
              </w:rPr>
              <w:t>Coaching, mentoring, side-by-side support</w:t>
            </w:r>
          </w:p>
        </w:tc>
      </w:tr>
      <w:tr>
        <w:tc>
          <w:tcPr>
            <w:tcW w:type="dxa" w:w="5040"/>
          </w:tcPr>
          <w:p>
            <w:pPr>
              <w:spacing w:after="0"/>
            </w:pPr>
            <w:r>
              <w:rPr>
                <w:sz w:val="15"/>
              </w:rPr>
              <w:t>Vacancy/coverage</w:t>
            </w:r>
          </w:p>
        </w:tc>
        <w:tc>
          <w:tcPr>
            <w:tcW w:type="dxa" w:w="5040"/>
          </w:tcPr>
          <w:p>
            <w:pPr>
              <w:spacing w:after="0"/>
            </w:pPr>
            <w:r>
              <w:rPr>
                <w:sz w:val="15"/>
              </w:rPr>
              <w:t>Overtime, outsourcing, understaffing, abandoned demand where measurable</w:t>
            </w:r>
          </w:p>
        </w:tc>
      </w:tr>
      <w:tr>
        <w:tc>
          <w:tcPr>
            <w:tcW w:type="dxa" w:w="5040"/>
          </w:tcPr>
          <w:p>
            <w:pPr>
              <w:spacing w:after="0"/>
            </w:pPr>
            <w:r>
              <w:rPr>
                <w:sz w:val="15"/>
              </w:rPr>
              <w:t>Knowledge/team effects</w:t>
            </w:r>
          </w:p>
        </w:tc>
        <w:tc>
          <w:tcPr>
            <w:tcW w:type="dxa" w:w="5040"/>
          </w:tcPr>
          <w:p>
            <w:pPr>
              <w:spacing w:after="0"/>
            </w:pPr>
            <w:r>
              <w:rPr>
                <w:sz w:val="15"/>
              </w:rPr>
              <w:t>Include only if measurable; otherwise report qualitatively</w:t>
            </w:r>
          </w:p>
        </w:tc>
      </w:tr>
    </w:tbl>
    <w:p>
      <w:pPr>
        <w:pStyle w:val="Heading1"/>
      </w:pPr>
      <w:r>
        <w:t>13. Time-to-Proficiency Economics</w:t>
      </w:r>
    </w:p>
    <w:p>
      <w:r>
        <w:t>The economic value of faster proficiency must be quality-adjusted. A person reaching a throughput threshold faster is not 'proficient' if quality, resolution, compliance, or customer outcomes remain below required standards.</w:t>
      </w:r>
    </w:p>
    <w:p>
      <w:pPr>
        <w:pStyle w:val="ListBullet"/>
        <w:spacing w:after="20"/>
      </w:pPr>
      <w:r>
        <w:t>Define proficiency prospectively using a balanced threshold, not a single metric.</w:t>
      </w:r>
    </w:p>
    <w:p>
      <w:pPr>
        <w:pStyle w:val="ListBullet"/>
        <w:spacing w:after="20"/>
      </w:pPr>
      <w:r>
        <w:t>Estimate the learning curve from observed cohort data where possible.</w:t>
      </w:r>
    </w:p>
    <w:p>
      <w:pPr>
        <w:pStyle w:val="ListBullet"/>
        <w:spacing w:after="20"/>
      </w:pPr>
      <w:r>
        <w:t>Calculate only the incremental difference attributable to the intervention.</w:t>
      </w:r>
    </w:p>
    <w:p>
      <w:pPr>
        <w:pStyle w:val="ListBullet"/>
        <w:spacing w:after="20"/>
      </w:pPr>
      <w:r>
        <w:t>Separate faster proficiency from reduced training duration; they are not identical.</w:t>
      </w:r>
    </w:p>
    <w:p>
      <w:pPr>
        <w:pStyle w:val="ListBullet"/>
        <w:spacing w:after="20"/>
      </w:pPr>
      <w:r>
        <w:t>Do not assume every minute released becomes monetizable value.</w:t>
      </w:r>
    </w:p>
    <w:p>
      <w:pPr>
        <w:pStyle w:val="Heading1"/>
      </w:pPr>
      <w:r>
        <w:t>14. Counterfactual and Attribution Standard</w:t>
      </w:r>
    </w:p>
    <w:p>
      <w:r>
        <w:t>Every ROI claim requires an explicit 'compared with what?'</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Counterfactual quality</w:t>
            </w:r>
          </w:p>
        </w:tc>
        <w:tc>
          <w:tcPr>
            <w:tcW w:type="dxa" w:w="3360"/>
            <w:shd w:fill="0B3A53"/>
          </w:tcPr>
          <w:p>
            <w:r>
              <w:rPr>
                <w:b/>
                <w:color w:val="FFFFFF"/>
                <w:sz w:val="15"/>
              </w:rPr>
              <w:t>Example</w:t>
            </w:r>
          </w:p>
        </w:tc>
        <w:tc>
          <w:tcPr>
            <w:tcW w:type="dxa" w:w="3360"/>
            <w:shd w:fill="0B3A53"/>
          </w:tcPr>
          <w:p>
            <w:r>
              <w:rPr>
                <w:b/>
                <w:color w:val="FFFFFF"/>
                <w:sz w:val="15"/>
              </w:rPr>
              <w:t>Claim strength</w:t>
            </w:r>
          </w:p>
        </w:tc>
      </w:tr>
      <w:tr>
        <w:tc>
          <w:tcPr>
            <w:tcW w:type="dxa" w:w="3360"/>
          </w:tcPr>
          <w:p>
            <w:pPr>
              <w:spacing w:after="0"/>
            </w:pPr>
            <w:r>
              <w:rPr>
                <w:sz w:val="15"/>
              </w:rPr>
              <w:t>Weak</w:t>
            </w:r>
          </w:p>
        </w:tc>
        <w:tc>
          <w:tcPr>
            <w:tcW w:type="dxa" w:w="3360"/>
          </w:tcPr>
          <w:p>
            <w:pPr>
              <w:spacing w:after="0"/>
            </w:pPr>
            <w:r>
              <w:rPr>
                <w:sz w:val="15"/>
              </w:rPr>
              <w:t>Before vs after with no credible adjustment</w:t>
            </w:r>
          </w:p>
        </w:tc>
        <w:tc>
          <w:tcPr>
            <w:tcW w:type="dxa" w:w="3360"/>
          </w:tcPr>
          <w:p>
            <w:pPr>
              <w:spacing w:after="0"/>
            </w:pPr>
            <w:r>
              <w:rPr>
                <w:sz w:val="15"/>
              </w:rPr>
              <w:t>Exploratory only</w:t>
            </w:r>
          </w:p>
        </w:tc>
      </w:tr>
      <w:tr>
        <w:tc>
          <w:tcPr>
            <w:tcW w:type="dxa" w:w="3360"/>
          </w:tcPr>
          <w:p>
            <w:pPr>
              <w:spacing w:after="0"/>
            </w:pPr>
            <w:r>
              <w:rPr>
                <w:sz w:val="15"/>
              </w:rPr>
              <w:t>Improved observational</w:t>
            </w:r>
          </w:p>
        </w:tc>
        <w:tc>
          <w:tcPr>
            <w:tcW w:type="dxa" w:w="3360"/>
          </w:tcPr>
          <w:p>
            <w:pPr>
              <w:spacing w:after="0"/>
            </w:pPr>
            <w:r>
              <w:rPr>
                <w:sz w:val="15"/>
              </w:rPr>
              <w:t>Matched/nonparticipant comparison with measured controls</w:t>
            </w:r>
          </w:p>
        </w:tc>
        <w:tc>
          <w:tcPr>
            <w:tcW w:type="dxa" w:w="3360"/>
          </w:tcPr>
          <w:p>
            <w:pPr>
              <w:spacing w:after="0"/>
            </w:pPr>
            <w:r>
              <w:rPr>
                <w:sz w:val="15"/>
              </w:rPr>
              <w:t>Association / cautious incremental estimate</w:t>
            </w:r>
          </w:p>
        </w:tc>
      </w:tr>
      <w:tr>
        <w:tc>
          <w:tcPr>
            <w:tcW w:type="dxa" w:w="3360"/>
          </w:tcPr>
          <w:p>
            <w:pPr>
              <w:spacing w:after="0"/>
            </w:pPr>
            <w:r>
              <w:rPr>
                <w:sz w:val="15"/>
              </w:rPr>
              <w:t>Strong quasi-experimental</w:t>
            </w:r>
          </w:p>
        </w:tc>
        <w:tc>
          <w:tcPr>
            <w:tcW w:type="dxa" w:w="3360"/>
          </w:tcPr>
          <w:p>
            <w:pPr>
              <w:spacing w:after="0"/>
            </w:pPr>
            <w:r>
              <w:rPr>
                <w:sz w:val="15"/>
              </w:rPr>
              <w:t>Staggered rollout, difference-in-differences, regression discontinuity or comparable design</w:t>
            </w:r>
          </w:p>
        </w:tc>
        <w:tc>
          <w:tcPr>
            <w:tcW w:type="dxa" w:w="3360"/>
          </w:tcPr>
          <w:p>
            <w:pPr>
              <w:spacing w:after="0"/>
            </w:pPr>
            <w:r>
              <w:rPr>
                <w:sz w:val="15"/>
              </w:rPr>
              <w:t>Stronger causal economic estimate</w:t>
            </w:r>
          </w:p>
        </w:tc>
      </w:tr>
      <w:tr>
        <w:tc>
          <w:tcPr>
            <w:tcW w:type="dxa" w:w="3360"/>
          </w:tcPr>
          <w:p>
            <w:pPr>
              <w:spacing w:after="0"/>
            </w:pPr>
            <w:r>
              <w:rPr>
                <w:sz w:val="15"/>
              </w:rPr>
              <w:t>Experimental where feasible</w:t>
            </w:r>
          </w:p>
        </w:tc>
        <w:tc>
          <w:tcPr>
            <w:tcW w:type="dxa" w:w="3360"/>
          </w:tcPr>
          <w:p>
            <w:pPr>
              <w:spacing w:after="0"/>
            </w:pPr>
            <w:r>
              <w:rPr>
                <w:sz w:val="15"/>
              </w:rPr>
              <w:t>Randomized assignment/encouragement or controlled pilot</w:t>
            </w:r>
          </w:p>
        </w:tc>
        <w:tc>
          <w:tcPr>
            <w:tcW w:type="dxa" w:w="3360"/>
          </w:tcPr>
          <w:p>
            <w:pPr>
              <w:spacing w:after="0"/>
            </w:pPr>
            <w:r>
              <w:rPr>
                <w:sz w:val="15"/>
              </w:rPr>
              <w:t>Strongest causal basis</w:t>
            </w:r>
          </w:p>
        </w:tc>
      </w:tr>
      <w:tr>
        <w:tc>
          <w:tcPr>
            <w:tcW w:type="dxa" w:w="3360"/>
          </w:tcPr>
          <w:p>
            <w:pPr>
              <w:spacing w:after="0"/>
            </w:pPr>
            <w:r>
              <w:rPr>
                <w:sz w:val="15"/>
              </w:rPr>
              <w:t>Alternative-intervention comparison</w:t>
            </w:r>
          </w:p>
        </w:tc>
        <w:tc>
          <w:tcPr>
            <w:tcW w:type="dxa" w:w="3360"/>
          </w:tcPr>
          <w:p>
            <w:pPr>
              <w:spacing w:after="0"/>
            </w:pPr>
            <w:r>
              <w:rPr>
                <w:sz w:val="15"/>
              </w:rPr>
              <w:t>ResolveCX vs another viable solution</w:t>
            </w:r>
          </w:p>
        </w:tc>
        <w:tc>
          <w:tcPr>
            <w:tcW w:type="dxa" w:w="3360"/>
          </w:tcPr>
          <w:p>
            <w:pPr>
              <w:spacing w:after="0"/>
            </w:pPr>
            <w:r>
              <w:rPr>
                <w:sz w:val="15"/>
              </w:rPr>
              <w:t>Best for purchasing/resource-allocation decisions</w:t>
            </w:r>
          </w:p>
        </w:tc>
      </w:tr>
    </w:tbl>
    <w:p>
      <w:pPr>
        <w:pStyle w:val="Heading1"/>
      </w:pPr>
      <w:r>
        <w:t>15. Economic Metrics</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Metric</w:t>
            </w:r>
          </w:p>
        </w:tc>
        <w:tc>
          <w:tcPr>
            <w:tcW w:type="dxa" w:w="3360"/>
            <w:shd w:fill="0B3A53"/>
          </w:tcPr>
          <w:p>
            <w:r>
              <w:rPr>
                <w:b/>
                <w:color w:val="FFFFFF"/>
                <w:sz w:val="15"/>
              </w:rPr>
              <w:t>Definition / use</w:t>
            </w:r>
          </w:p>
        </w:tc>
        <w:tc>
          <w:tcPr>
            <w:tcW w:type="dxa" w:w="3360"/>
            <w:shd w:fill="0B3A53"/>
          </w:tcPr>
          <w:p>
            <w:r>
              <w:rPr>
                <w:b/>
                <w:color w:val="FFFFFF"/>
                <w:sz w:val="15"/>
              </w:rPr>
              <w:t>Guardrail</w:t>
            </w:r>
          </w:p>
        </w:tc>
      </w:tr>
      <w:tr>
        <w:tc>
          <w:tcPr>
            <w:tcW w:type="dxa" w:w="3360"/>
          </w:tcPr>
          <w:p>
            <w:pPr>
              <w:spacing w:after="0"/>
            </w:pPr>
            <w:r>
              <w:rPr>
                <w:sz w:val="15"/>
              </w:rPr>
              <w:t>Net benefit</w:t>
            </w:r>
          </w:p>
        </w:tc>
        <w:tc>
          <w:tcPr>
            <w:tcW w:type="dxa" w:w="3360"/>
          </w:tcPr>
          <w:p>
            <w:pPr>
              <w:spacing w:after="0"/>
            </w:pPr>
            <w:r>
              <w:rPr>
                <w:sz w:val="15"/>
              </w:rPr>
              <w:t>Incremental monetized benefits minus incremental costs</w:t>
            </w:r>
          </w:p>
        </w:tc>
        <w:tc>
          <w:tcPr>
            <w:tcW w:type="dxa" w:w="3360"/>
          </w:tcPr>
          <w:p>
            <w:pPr>
              <w:spacing w:after="0"/>
            </w:pPr>
            <w:r>
              <w:rPr>
                <w:sz w:val="15"/>
              </w:rPr>
              <w:t>Report by stakeholder and time horizon</w:t>
            </w:r>
          </w:p>
        </w:tc>
      </w:tr>
      <w:tr>
        <w:tc>
          <w:tcPr>
            <w:tcW w:type="dxa" w:w="3360"/>
          </w:tcPr>
          <w:p>
            <w:pPr>
              <w:spacing w:after="0"/>
            </w:pPr>
            <w:r>
              <w:rPr>
                <w:sz w:val="15"/>
              </w:rPr>
              <w:t>Benefit-cost ratio</w:t>
            </w:r>
          </w:p>
        </w:tc>
        <w:tc>
          <w:tcPr>
            <w:tcW w:type="dxa" w:w="3360"/>
          </w:tcPr>
          <w:p>
            <w:pPr>
              <w:spacing w:after="0"/>
            </w:pPr>
            <w:r>
              <w:rPr>
                <w:sz w:val="15"/>
              </w:rPr>
              <w:t>Incremental benefits ÷ incremental costs</w:t>
            </w:r>
          </w:p>
        </w:tc>
        <w:tc>
          <w:tcPr>
            <w:tcW w:type="dxa" w:w="3360"/>
          </w:tcPr>
          <w:p>
            <w:pPr>
              <w:spacing w:after="0"/>
            </w:pPr>
            <w:r>
              <w:rPr>
                <w:sz w:val="15"/>
              </w:rPr>
              <w:t>Do not confuse with ROI</w:t>
            </w:r>
          </w:p>
        </w:tc>
      </w:tr>
      <w:tr>
        <w:tc>
          <w:tcPr>
            <w:tcW w:type="dxa" w:w="3360"/>
          </w:tcPr>
          <w:p>
            <w:pPr>
              <w:spacing w:after="0"/>
            </w:pPr>
            <w:r>
              <w:rPr>
                <w:sz w:val="15"/>
              </w:rPr>
              <w:t>ROI</w:t>
            </w:r>
          </w:p>
        </w:tc>
        <w:tc>
          <w:tcPr>
            <w:tcW w:type="dxa" w:w="3360"/>
          </w:tcPr>
          <w:p>
            <w:pPr>
              <w:spacing w:after="0"/>
            </w:pPr>
            <w:r>
              <w:rPr>
                <w:sz w:val="15"/>
              </w:rPr>
              <w:t>(Incremental benefits − incremental costs) ÷ incremental costs</w:t>
            </w:r>
          </w:p>
        </w:tc>
        <w:tc>
          <w:tcPr>
            <w:tcW w:type="dxa" w:w="3360"/>
          </w:tcPr>
          <w:p>
            <w:pPr>
              <w:spacing w:after="0"/>
            </w:pPr>
            <w:r>
              <w:rPr>
                <w:sz w:val="15"/>
              </w:rPr>
              <w:t>State formula explicitly</w:t>
            </w:r>
          </w:p>
        </w:tc>
      </w:tr>
      <w:tr>
        <w:tc>
          <w:tcPr>
            <w:tcW w:type="dxa" w:w="3360"/>
          </w:tcPr>
          <w:p>
            <w:pPr>
              <w:spacing w:after="0"/>
            </w:pPr>
            <w:r>
              <w:rPr>
                <w:sz w:val="15"/>
              </w:rPr>
              <w:t>Payback period</w:t>
            </w:r>
          </w:p>
        </w:tc>
        <w:tc>
          <w:tcPr>
            <w:tcW w:type="dxa" w:w="3360"/>
          </w:tcPr>
          <w:p>
            <w:pPr>
              <w:spacing w:after="0"/>
            </w:pPr>
            <w:r>
              <w:rPr>
                <w:sz w:val="15"/>
              </w:rPr>
              <w:t>Time until cumulative benefits recover costs</w:t>
            </w:r>
          </w:p>
        </w:tc>
        <w:tc>
          <w:tcPr>
            <w:tcW w:type="dxa" w:w="3360"/>
          </w:tcPr>
          <w:p>
            <w:pPr>
              <w:spacing w:after="0"/>
            </w:pPr>
            <w:r>
              <w:rPr>
                <w:sz w:val="15"/>
              </w:rPr>
              <w:t>Useful when cash/timing matters</w:t>
            </w:r>
          </w:p>
        </w:tc>
      </w:tr>
      <w:tr>
        <w:tc>
          <w:tcPr>
            <w:tcW w:type="dxa" w:w="3360"/>
          </w:tcPr>
          <w:p>
            <w:pPr>
              <w:spacing w:after="0"/>
            </w:pPr>
            <w:r>
              <w:rPr>
                <w:sz w:val="15"/>
              </w:rPr>
              <w:t>NPV</w:t>
            </w:r>
          </w:p>
        </w:tc>
        <w:tc>
          <w:tcPr>
            <w:tcW w:type="dxa" w:w="3360"/>
          </w:tcPr>
          <w:p>
            <w:pPr>
              <w:spacing w:after="0"/>
            </w:pPr>
            <w:r>
              <w:rPr>
                <w:sz w:val="15"/>
              </w:rPr>
              <w:t>Discounted benefits minus discounted costs</w:t>
            </w:r>
          </w:p>
        </w:tc>
        <w:tc>
          <w:tcPr>
            <w:tcW w:type="dxa" w:w="3360"/>
          </w:tcPr>
          <w:p>
            <w:pPr>
              <w:spacing w:after="0"/>
            </w:pPr>
            <w:r>
              <w:rPr>
                <w:sz w:val="15"/>
              </w:rPr>
              <w:t>Use justified discount rate/time horizon</w:t>
            </w:r>
          </w:p>
        </w:tc>
      </w:tr>
      <w:tr>
        <w:tc>
          <w:tcPr>
            <w:tcW w:type="dxa" w:w="3360"/>
          </w:tcPr>
          <w:p>
            <w:pPr>
              <w:spacing w:after="0"/>
            </w:pPr>
            <w:r>
              <w:rPr>
                <w:sz w:val="15"/>
              </w:rPr>
              <w:t>IRR/ERR</w:t>
            </w:r>
          </w:p>
        </w:tc>
        <w:tc>
          <w:tcPr>
            <w:tcW w:type="dxa" w:w="3360"/>
          </w:tcPr>
          <w:p>
            <w:pPr>
              <w:spacing w:after="0"/>
            </w:pPr>
            <w:r>
              <w:rPr>
                <w:sz w:val="15"/>
              </w:rPr>
              <w:t>Rate that equates discounted benefits/costs where appropriate</w:t>
            </w:r>
          </w:p>
        </w:tc>
        <w:tc>
          <w:tcPr>
            <w:tcW w:type="dxa" w:w="3360"/>
          </w:tcPr>
          <w:p>
            <w:pPr>
              <w:spacing w:after="0"/>
            </w:pPr>
            <w:r>
              <w:rPr>
                <w:sz w:val="15"/>
              </w:rPr>
              <w:t>Use cautiously and disclose assumptions</w:t>
            </w:r>
          </w:p>
        </w:tc>
      </w:tr>
      <w:tr>
        <w:tc>
          <w:tcPr>
            <w:tcW w:type="dxa" w:w="3360"/>
          </w:tcPr>
          <w:p>
            <w:pPr>
              <w:spacing w:after="0"/>
            </w:pPr>
            <w:r>
              <w:rPr>
                <w:sz w:val="15"/>
              </w:rPr>
              <w:t>Cost-effectiveness</w:t>
            </w:r>
          </w:p>
        </w:tc>
        <w:tc>
          <w:tcPr>
            <w:tcW w:type="dxa" w:w="3360"/>
          </w:tcPr>
          <w:p>
            <w:pPr>
              <w:spacing w:after="0"/>
            </w:pPr>
            <w:r>
              <w:rPr>
                <w:sz w:val="15"/>
              </w:rPr>
              <w:t>Cost per validated outcome when monetization is inappropriate</w:t>
            </w:r>
          </w:p>
        </w:tc>
        <w:tc>
          <w:tcPr>
            <w:tcW w:type="dxa" w:w="3360"/>
          </w:tcPr>
          <w:p>
            <w:pPr>
              <w:spacing w:after="0"/>
            </w:pPr>
            <w:r>
              <w:rPr>
                <w:sz w:val="15"/>
              </w:rPr>
              <w:t>Preferred for some nonmonetary outcomes</w:t>
            </w:r>
          </w:p>
        </w:tc>
      </w:tr>
      <w:tr>
        <w:tc>
          <w:tcPr>
            <w:tcW w:type="dxa" w:w="3360"/>
          </w:tcPr>
          <w:p>
            <w:pPr>
              <w:spacing w:after="0"/>
            </w:pPr>
            <w:r>
              <w:rPr>
                <w:sz w:val="15"/>
              </w:rPr>
              <w:t>Break-even threshold</w:t>
            </w:r>
          </w:p>
        </w:tc>
        <w:tc>
          <w:tcPr>
            <w:tcW w:type="dxa" w:w="3360"/>
          </w:tcPr>
          <w:p>
            <w:pPr>
              <w:spacing w:after="0"/>
            </w:pPr>
            <w:r>
              <w:rPr>
                <w:sz w:val="15"/>
              </w:rPr>
              <w:t>Minimum effect/volume/value required to cover cost</w:t>
            </w:r>
          </w:p>
        </w:tc>
        <w:tc>
          <w:tcPr>
            <w:tcW w:type="dxa" w:w="3360"/>
          </w:tcPr>
          <w:p>
            <w:pPr>
              <w:spacing w:after="0"/>
            </w:pPr>
            <w:r>
              <w:rPr>
                <w:sz w:val="15"/>
              </w:rPr>
              <w:t>Highly useful before full outcome evidence</w:t>
            </w:r>
          </w:p>
        </w:tc>
      </w:tr>
    </w:tbl>
    <w:p>
      <w:pPr>
        <w:pStyle w:val="Heading1"/>
      </w:pPr>
      <w:r>
        <w:t>16. Double-Counting Prevention</w:t>
      </w:r>
    </w:p>
    <w:p>
      <w:pPr>
        <w:pStyle w:val="ListBullet"/>
        <w:spacing w:after="20"/>
      </w:pPr>
      <w:r>
        <w:t>If avoided turnover already includes recruiting, training and ramp costs, do not add those costs again as separate benefits.</w:t>
      </w:r>
    </w:p>
    <w:p>
      <w:pPr>
        <w:pStyle w:val="ListBullet"/>
        <w:spacing w:after="20"/>
      </w:pPr>
      <w:r>
        <w:t>If productivity improvement is monetized through additional capacity, do not also monetize the same minutes as labor savings unless both are actually realized.</w:t>
      </w:r>
    </w:p>
    <w:p>
      <w:pPr>
        <w:pStyle w:val="ListBullet"/>
        <w:spacing w:after="20"/>
      </w:pPr>
      <w:r>
        <w:t>Do not monetize customer retention from quality improvement unless a defensible causal/revenue link exists.</w:t>
      </w:r>
    </w:p>
    <w:p>
      <w:pPr>
        <w:pStyle w:val="ListBullet"/>
        <w:spacing w:after="20"/>
      </w:pPr>
      <w:r>
        <w:t>Do not count participant wage gains as employer gains unless the employer independently receives a measurable benefit.</w:t>
      </w:r>
    </w:p>
    <w:p>
      <w:pPr>
        <w:pStyle w:val="ListBullet"/>
        <w:spacing w:after="20"/>
      </w:pPr>
      <w:r>
        <w:t>Track benefit IDs in the Master Evidence Registry/economic model so one outcome cannot enter multiple value streams unnoticed.</w:t>
      </w:r>
    </w:p>
    <w:p>
      <w:pPr>
        <w:pStyle w:val="Heading1"/>
      </w:pPr>
      <w:r>
        <w:t>17. Uncertainty, Sensitivity, and Scenario Analysis</w:t>
      </w:r>
    </w:p>
    <w:p>
      <w:r>
        <w:t>A single-point ROI estimate is insufficient when inputs are uncertain.</w:t>
      </w:r>
    </w:p>
    <w:p>
      <w:pPr>
        <w:pStyle w:val="ListBullet"/>
        <w:spacing w:after="20"/>
      </w:pPr>
      <w:r>
        <w:t>Report base, conservative, and evidence-supported upside scenarios.</w:t>
      </w:r>
    </w:p>
    <w:p>
      <w:pPr>
        <w:pStyle w:val="ListBullet"/>
        <w:spacing w:after="20"/>
      </w:pPr>
      <w:r>
        <w:t>Vary the most decision-sensitive parameters: intervention effect, turnover unit cost, proficiency acceleration, adoption/completion, wage, utilization of released capacity, duration of benefit, and scale.</w:t>
      </w:r>
    </w:p>
    <w:p>
      <w:pPr>
        <w:pStyle w:val="ListBullet"/>
        <w:spacing w:after="20"/>
      </w:pPr>
      <w:r>
        <w:t>Use confidence/credible intervals or probabilistic simulation when source data support them.</w:t>
      </w:r>
    </w:p>
    <w:p>
      <w:pPr>
        <w:pStyle w:val="ListBullet"/>
        <w:spacing w:after="20"/>
      </w:pPr>
      <w:r>
        <w:t>Report break-even values: e.g., how many avoided early exits or days of proficiency acceleration are required to recover cost.</w:t>
      </w:r>
    </w:p>
    <w:p>
      <w:pPr>
        <w:pStyle w:val="ListBullet"/>
        <w:spacing w:after="20"/>
      </w:pPr>
      <w:r>
        <w:t>Identify which assumptions drive the conclusion and which have little influence.</w:t>
      </w:r>
    </w:p>
    <w:p>
      <w:pPr>
        <w:pStyle w:val="ListBullet"/>
        <w:spacing w:after="20"/>
      </w:pPr>
      <w:r>
        <w:t>Do not use optimistic assumptions merely because they make the business case positive.</w:t>
      </w:r>
    </w:p>
    <w:p>
      <w:pPr>
        <w:pStyle w:val="Heading1"/>
      </w:pPr>
      <w:r>
        <w:t>18. Distributional Analysis</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Question</w:t>
            </w:r>
          </w:p>
        </w:tc>
        <w:tc>
          <w:tcPr>
            <w:tcW w:type="dxa" w:w="5040"/>
            <w:shd w:fill="0B3A53"/>
          </w:tcPr>
          <w:p>
            <w:r>
              <w:rPr>
                <w:b/>
                <w:color w:val="FFFFFF"/>
                <w:sz w:val="15"/>
              </w:rPr>
              <w:t>Why it matters</w:t>
            </w:r>
          </w:p>
        </w:tc>
      </w:tr>
      <w:tr>
        <w:tc>
          <w:tcPr>
            <w:tcW w:type="dxa" w:w="5040"/>
          </w:tcPr>
          <w:p>
            <w:pPr>
              <w:spacing w:after="0"/>
            </w:pPr>
            <w:r>
              <w:rPr>
                <w:sz w:val="15"/>
              </w:rPr>
              <w:t>Who pays?</w:t>
            </w:r>
          </w:p>
        </w:tc>
        <w:tc>
          <w:tcPr>
            <w:tcW w:type="dxa" w:w="5040"/>
          </w:tcPr>
          <w:p>
            <w:pPr>
              <w:spacing w:after="0"/>
            </w:pPr>
            <w:r>
              <w:rPr>
                <w:sz w:val="15"/>
              </w:rPr>
              <w:t>The economic buyer may not be the beneficiary.</w:t>
            </w:r>
          </w:p>
        </w:tc>
      </w:tr>
      <w:tr>
        <w:tc>
          <w:tcPr>
            <w:tcW w:type="dxa" w:w="5040"/>
          </w:tcPr>
          <w:p>
            <w:pPr>
              <w:spacing w:after="0"/>
            </w:pPr>
            <w:r>
              <w:rPr>
                <w:sz w:val="15"/>
              </w:rPr>
              <w:t>Who receives the benefit?</w:t>
            </w:r>
          </w:p>
        </w:tc>
        <w:tc>
          <w:tcPr>
            <w:tcW w:type="dxa" w:w="5040"/>
          </w:tcPr>
          <w:p>
            <w:pPr>
              <w:spacing w:after="0"/>
            </w:pPr>
            <w:r>
              <w:rPr>
                <w:sz w:val="15"/>
              </w:rPr>
              <w:t>Employer, worker, partner, customer and public value may differ.</w:t>
            </w:r>
          </w:p>
        </w:tc>
      </w:tr>
      <w:tr>
        <w:tc>
          <w:tcPr>
            <w:tcW w:type="dxa" w:w="5040"/>
          </w:tcPr>
          <w:p>
            <w:pPr>
              <w:spacing w:after="0"/>
            </w:pPr>
            <w:r>
              <w:rPr>
                <w:sz w:val="15"/>
              </w:rPr>
              <w:t>Who bears implementation burden?</w:t>
            </w:r>
          </w:p>
        </w:tc>
        <w:tc>
          <w:tcPr>
            <w:tcW w:type="dxa" w:w="5040"/>
          </w:tcPr>
          <w:p>
            <w:pPr>
              <w:spacing w:after="0"/>
            </w:pPr>
            <w:r>
              <w:rPr>
                <w:sz w:val="15"/>
              </w:rPr>
              <w:t>Manager/worker time can be shifted invisibly.</w:t>
            </w:r>
          </w:p>
        </w:tc>
      </w:tr>
      <w:tr>
        <w:tc>
          <w:tcPr>
            <w:tcW w:type="dxa" w:w="5040"/>
          </w:tcPr>
          <w:p>
            <w:pPr>
              <w:spacing w:after="0"/>
            </w:pPr>
            <w:r>
              <w:rPr>
                <w:sz w:val="15"/>
              </w:rPr>
              <w:t>Who bears downside risk?</w:t>
            </w:r>
          </w:p>
        </w:tc>
        <w:tc>
          <w:tcPr>
            <w:tcW w:type="dxa" w:w="5040"/>
          </w:tcPr>
          <w:p>
            <w:pPr>
              <w:spacing w:after="0"/>
            </w:pPr>
            <w:r>
              <w:rPr>
                <w:sz w:val="15"/>
              </w:rPr>
              <w:t>Work intensification, wage suppression, exclusion, or poor service may offset aggregate gains.</w:t>
            </w:r>
          </w:p>
        </w:tc>
      </w:tr>
      <w:tr>
        <w:tc>
          <w:tcPr>
            <w:tcW w:type="dxa" w:w="5040"/>
          </w:tcPr>
          <w:p>
            <w:pPr>
              <w:spacing w:after="0"/>
            </w:pPr>
            <w:r>
              <w:rPr>
                <w:sz w:val="15"/>
              </w:rPr>
              <w:t>Who can capture released capacity?</w:t>
            </w:r>
          </w:p>
        </w:tc>
        <w:tc>
          <w:tcPr>
            <w:tcW w:type="dxa" w:w="5040"/>
          </w:tcPr>
          <w:p>
            <w:pPr>
              <w:spacing w:after="0"/>
            </w:pPr>
            <w:r>
              <w:rPr>
                <w:sz w:val="15"/>
              </w:rPr>
              <w:t>Time savings have little financial value if they cannot be redeployed or avoided.</w:t>
            </w:r>
          </w:p>
        </w:tc>
      </w:tr>
      <w:tr>
        <w:tc>
          <w:tcPr>
            <w:tcW w:type="dxa" w:w="5040"/>
          </w:tcPr>
          <w:p>
            <w:pPr>
              <w:spacing w:after="0"/>
            </w:pPr>
            <w:r>
              <w:rPr>
                <w:sz w:val="15"/>
              </w:rPr>
              <w:t>Who gains at scale?</w:t>
            </w:r>
          </w:p>
        </w:tc>
        <w:tc>
          <w:tcPr>
            <w:tcW w:type="dxa" w:w="5040"/>
          </w:tcPr>
          <w:p>
            <w:pPr>
              <w:spacing w:after="0"/>
            </w:pPr>
            <w:r>
              <w:rPr>
                <w:sz w:val="15"/>
              </w:rPr>
              <w:t>Scaling may change access, opportunity and marginal outcomes.</w:t>
            </w:r>
          </w:p>
        </w:tc>
      </w:tr>
    </w:tbl>
    <w:p>
      <w:pPr>
        <w:pStyle w:val="Heading1"/>
      </w:pPr>
      <w:r>
        <w:t>19. Economic Buyer Test</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Validation level</w:t>
            </w:r>
          </w:p>
        </w:tc>
        <w:tc>
          <w:tcPr>
            <w:tcW w:type="dxa" w:w="3360"/>
            <w:shd w:fill="0B3A53"/>
          </w:tcPr>
          <w:p>
            <w:r>
              <w:rPr>
                <w:b/>
                <w:color w:val="FFFFFF"/>
                <w:sz w:val="15"/>
              </w:rPr>
              <w:t>Observable evidence</w:t>
            </w:r>
          </w:p>
        </w:tc>
        <w:tc>
          <w:tcPr>
            <w:tcW w:type="dxa" w:w="3360"/>
            <w:shd w:fill="0B3A53"/>
          </w:tcPr>
          <w:p>
            <w:r>
              <w:rPr>
                <w:b/>
                <w:color w:val="FFFFFF"/>
                <w:sz w:val="15"/>
              </w:rPr>
              <w:t>Interpretation</w:t>
            </w:r>
          </w:p>
        </w:tc>
      </w:tr>
      <w:tr>
        <w:tc>
          <w:tcPr>
            <w:tcW w:type="dxa" w:w="3360"/>
          </w:tcPr>
          <w:p>
            <w:pPr>
              <w:spacing w:after="0"/>
            </w:pPr>
            <w:r>
              <w:rPr>
                <w:sz w:val="15"/>
              </w:rPr>
              <w:t>0 — Interest</w:t>
            </w:r>
          </w:p>
        </w:tc>
        <w:tc>
          <w:tcPr>
            <w:tcW w:type="dxa" w:w="3360"/>
          </w:tcPr>
          <w:p>
            <w:pPr>
              <w:spacing w:after="0"/>
            </w:pPr>
            <w:r>
              <w:rPr>
                <w:sz w:val="15"/>
              </w:rPr>
              <w:t>Stakeholder says the problem/value proposition matters</w:t>
            </w:r>
          </w:p>
        </w:tc>
        <w:tc>
          <w:tcPr>
            <w:tcW w:type="dxa" w:w="3360"/>
          </w:tcPr>
          <w:p>
            <w:pPr>
              <w:spacing w:after="0"/>
            </w:pPr>
            <w:r>
              <w:rPr>
                <w:sz w:val="15"/>
              </w:rPr>
              <w:t>No economic validation</w:t>
            </w:r>
          </w:p>
        </w:tc>
      </w:tr>
      <w:tr>
        <w:tc>
          <w:tcPr>
            <w:tcW w:type="dxa" w:w="3360"/>
          </w:tcPr>
          <w:p>
            <w:pPr>
              <w:spacing w:after="0"/>
            </w:pPr>
            <w:r>
              <w:rPr>
                <w:sz w:val="15"/>
              </w:rPr>
              <w:t>1 — Data cooperation</w:t>
            </w:r>
          </w:p>
        </w:tc>
        <w:tc>
          <w:tcPr>
            <w:tcW w:type="dxa" w:w="3360"/>
          </w:tcPr>
          <w:p>
            <w:pPr>
              <w:spacing w:after="0"/>
            </w:pPr>
            <w:r>
              <w:rPr>
                <w:sz w:val="15"/>
              </w:rPr>
              <w:t>Shares cost/outcome data for analysis</w:t>
            </w:r>
          </w:p>
        </w:tc>
        <w:tc>
          <w:tcPr>
            <w:tcW w:type="dxa" w:w="3360"/>
          </w:tcPr>
          <w:p>
            <w:pPr>
              <w:spacing w:after="0"/>
            </w:pPr>
            <w:r>
              <w:rPr>
                <w:sz w:val="15"/>
              </w:rPr>
              <w:t>Problem is material enough to examine</w:t>
            </w:r>
          </w:p>
        </w:tc>
      </w:tr>
      <w:tr>
        <w:tc>
          <w:tcPr>
            <w:tcW w:type="dxa" w:w="3360"/>
          </w:tcPr>
          <w:p>
            <w:pPr>
              <w:spacing w:after="0"/>
            </w:pPr>
            <w:r>
              <w:rPr>
                <w:sz w:val="15"/>
              </w:rPr>
              <w:t>2 — Pilot resource commitment</w:t>
            </w:r>
          </w:p>
        </w:tc>
        <w:tc>
          <w:tcPr>
            <w:tcW w:type="dxa" w:w="3360"/>
          </w:tcPr>
          <w:p>
            <w:pPr>
              <w:spacing w:after="0"/>
            </w:pPr>
            <w:r>
              <w:rPr>
                <w:sz w:val="15"/>
              </w:rPr>
              <w:t>Contributes staff time, access, cohort, or implementation resources</w:t>
            </w:r>
          </w:p>
        </w:tc>
        <w:tc>
          <w:tcPr>
            <w:tcW w:type="dxa" w:w="3360"/>
          </w:tcPr>
          <w:p>
            <w:pPr>
              <w:spacing w:after="0"/>
            </w:pPr>
            <w:r>
              <w:rPr>
                <w:sz w:val="15"/>
              </w:rPr>
              <w:t>Initial willingness to invest</w:t>
            </w:r>
          </w:p>
        </w:tc>
      </w:tr>
      <w:tr>
        <w:tc>
          <w:tcPr>
            <w:tcW w:type="dxa" w:w="3360"/>
          </w:tcPr>
          <w:p>
            <w:pPr>
              <w:spacing w:after="0"/>
            </w:pPr>
            <w:r>
              <w:rPr>
                <w:sz w:val="15"/>
              </w:rPr>
              <w:t>3 — Paid pilot / funded delivery</w:t>
            </w:r>
          </w:p>
        </w:tc>
        <w:tc>
          <w:tcPr>
            <w:tcW w:type="dxa" w:w="3360"/>
          </w:tcPr>
          <w:p>
            <w:pPr>
              <w:spacing w:after="0"/>
            </w:pPr>
            <w:r>
              <w:rPr>
                <w:sz w:val="15"/>
              </w:rPr>
              <w:t>Pays or allocates budget for a defined intervention</w:t>
            </w:r>
          </w:p>
        </w:tc>
        <w:tc>
          <w:tcPr>
            <w:tcW w:type="dxa" w:w="3360"/>
          </w:tcPr>
          <w:p>
            <w:pPr>
              <w:spacing w:after="0"/>
            </w:pPr>
            <w:r>
              <w:rPr>
                <w:sz w:val="15"/>
              </w:rPr>
              <w:t>Economic-buyer signal</w:t>
            </w:r>
          </w:p>
        </w:tc>
      </w:tr>
      <w:tr>
        <w:tc>
          <w:tcPr>
            <w:tcW w:type="dxa" w:w="3360"/>
          </w:tcPr>
          <w:p>
            <w:pPr>
              <w:spacing w:after="0"/>
            </w:pPr>
            <w:r>
              <w:rPr>
                <w:sz w:val="15"/>
              </w:rPr>
              <w:t>4 — Renewal/expansion</w:t>
            </w:r>
          </w:p>
        </w:tc>
        <w:tc>
          <w:tcPr>
            <w:tcW w:type="dxa" w:w="3360"/>
          </w:tcPr>
          <w:p>
            <w:pPr>
              <w:spacing w:after="0"/>
            </w:pPr>
            <w:r>
              <w:rPr>
                <w:sz w:val="15"/>
              </w:rPr>
              <w:t>Pays again or expands based on observed value</w:t>
            </w:r>
          </w:p>
        </w:tc>
        <w:tc>
          <w:tcPr>
            <w:tcW w:type="dxa" w:w="3360"/>
          </w:tcPr>
          <w:p>
            <w:pPr>
              <w:spacing w:after="0"/>
            </w:pPr>
            <w:r>
              <w:rPr>
                <w:sz w:val="15"/>
              </w:rPr>
              <w:t>Stronger value validation</w:t>
            </w:r>
          </w:p>
        </w:tc>
      </w:tr>
      <w:tr>
        <w:tc>
          <w:tcPr>
            <w:tcW w:type="dxa" w:w="3360"/>
          </w:tcPr>
          <w:p>
            <w:pPr>
              <w:spacing w:after="0"/>
            </w:pPr>
            <w:r>
              <w:rPr>
                <w:sz w:val="15"/>
              </w:rPr>
              <w:t>5 — Outcome-informed pricing/contract</w:t>
            </w:r>
          </w:p>
        </w:tc>
        <w:tc>
          <w:tcPr>
            <w:tcW w:type="dxa" w:w="3360"/>
          </w:tcPr>
          <w:p>
            <w:pPr>
              <w:spacing w:after="0"/>
            </w:pPr>
            <w:r>
              <w:rPr>
                <w:sz w:val="15"/>
              </w:rPr>
              <w:t>Commercial terms reflect validated outcomes/value streams</w:t>
            </w:r>
          </w:p>
        </w:tc>
        <w:tc>
          <w:tcPr>
            <w:tcW w:type="dxa" w:w="3360"/>
          </w:tcPr>
          <w:p>
            <w:pPr>
              <w:spacing w:after="0"/>
            </w:pPr>
            <w:r>
              <w:rPr>
                <w:sz w:val="15"/>
              </w:rPr>
              <w:t>Strongest business-model validation</w:t>
            </w:r>
          </w:p>
        </w:tc>
      </w:tr>
    </w:tbl>
    <w:p>
      <w:pPr>
        <w:pStyle w:val="Heading1"/>
      </w:pPr>
      <w:r>
        <w:t>20. Primary Data Trigger Rules</w:t>
      </w:r>
    </w:p>
    <w:p>
      <w:pPr>
        <w:pStyle w:val="ListBullet"/>
        <w:spacing w:after="20"/>
      </w:pPr>
      <w:r>
        <w:t>Do not ask employers what turnover 'probably costs' if accounting, HRIS, training, WFM or finance data can estimate it.</w:t>
      </w:r>
    </w:p>
    <w:p>
      <w:pPr>
        <w:pStyle w:val="ListBullet"/>
        <w:spacing w:after="20"/>
      </w:pPr>
      <w:r>
        <w:t>Do not survey willingness to pay as a substitute for actual budget behavior when paid-pilot evidence can be observed.</w:t>
      </w:r>
    </w:p>
    <w:p>
      <w:pPr>
        <w:pStyle w:val="ListBullet"/>
        <w:spacing w:after="20"/>
      </w:pPr>
      <w:r>
        <w:t>Use interviews to identify hidden cost processes, decision rules and benefit capture—not to generate precise dollar estimates from memory.</w:t>
      </w:r>
    </w:p>
    <w:p>
      <w:pPr>
        <w:pStyle w:val="ListBullet"/>
        <w:spacing w:after="20"/>
      </w:pPr>
      <w:r>
        <w:t>Prefer administrative/financial data for wages, training time, hiring, turnover, productivity and program costs.</w:t>
      </w:r>
    </w:p>
    <w:p>
      <w:pPr>
        <w:pStyle w:val="ListBullet"/>
        <w:spacing w:after="20"/>
      </w:pPr>
      <w:r>
        <w:t>Collect participant cost/benefit data only where existing administrative data cannot capture material incidence.</w:t>
      </w:r>
    </w:p>
    <w:p>
      <w:pPr>
        <w:pStyle w:val="ListBullet"/>
        <w:spacing w:after="20"/>
      </w:pPr>
      <w:r>
        <w:t>Do not conduct an ROI study before the underlying outcome effect is sufficiently established; otherwise use break-even/scenario analysis instead.</w:t>
      </w:r>
    </w:p>
    <w:p>
      <w:pPr>
        <w:pStyle w:val="ListBullet"/>
        <w:spacing w:after="20"/>
      </w:pPr>
      <w:r>
        <w:t>Complete an Evidence Sufficiency Decision Record before any new primary collection.</w:t>
      </w:r>
    </w:p>
    <w:p>
      <w:pPr>
        <w:pStyle w:val="Heading1"/>
      </w:pPr>
      <w:r>
        <w:t>21. Data Architecture</w:t>
      </w:r>
    </w:p>
    <w:p>
      <w:pPr>
        <w:pStyle w:val="ListBullet"/>
        <w:spacing w:after="20"/>
      </w:pPr>
      <w:r>
        <w:t>Level 1 — External economic-method evidence and relevant workforce/contact-center cost research.</w:t>
      </w:r>
    </w:p>
    <w:p>
      <w:pPr>
        <w:pStyle w:val="ListBullet"/>
        <w:spacing w:after="20"/>
      </w:pPr>
      <w:r>
        <w:t>Level 2 — Employer cost map: recruiting, onboarding, training, wages, vacancy, supervision, technology and quality/rework.</w:t>
      </w:r>
    </w:p>
    <w:p>
      <w:pPr>
        <w:pStyle w:val="ListBullet"/>
        <w:spacing w:after="20"/>
      </w:pPr>
      <w:r>
        <w:t>Level 3 — Baseline operational outcomes from Studies #001–#007 and employer systems.</w:t>
      </w:r>
    </w:p>
    <w:p>
      <w:pPr>
        <w:pStyle w:val="ListBullet"/>
        <w:spacing w:after="20"/>
      </w:pPr>
      <w:r>
        <w:t>Level 4 — Intervention implementation cost ledger with resource quantities and unit costs.</w:t>
      </w:r>
    </w:p>
    <w:p>
      <w:pPr>
        <w:pStyle w:val="ListBullet"/>
        <w:spacing w:after="20"/>
      </w:pPr>
      <w:r>
        <w:t>Level 5 — Credible incremental outcome estimates using longitudinal/comparison designs.</w:t>
      </w:r>
    </w:p>
    <w:p>
      <w:pPr>
        <w:pStyle w:val="ListBullet"/>
        <w:spacing w:after="20"/>
      </w:pPr>
      <w:r>
        <w:t>Level 6 — Stakeholder-specific cost-benefit/ROI model with sensitivity, break-even and distributional analysis.</w:t>
      </w:r>
    </w:p>
    <w:p>
      <w:pPr>
        <w:pStyle w:val="ListBullet"/>
        <w:spacing w:after="20"/>
      </w:pPr>
      <w:r>
        <w:t>Level 7 — Multi-employer replication, scale economics, pricing/willingness-to-pay and long-term value validation.</w:t>
      </w:r>
    </w:p>
    <w:p>
      <w:pPr>
        <w:pStyle w:val="Heading1"/>
      </w:pPr>
      <w:r>
        <w:t>22. Minimum Economic Dataset</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Domain</w:t>
            </w:r>
          </w:p>
        </w:tc>
        <w:tc>
          <w:tcPr>
            <w:tcW w:type="dxa" w:w="5040"/>
            <w:shd w:fill="0B3A53"/>
          </w:tcPr>
          <w:p>
            <w:r>
              <w:rPr>
                <w:b/>
                <w:color w:val="FFFFFF"/>
                <w:sz w:val="15"/>
              </w:rPr>
              <w:t>Minimum fields</w:t>
            </w:r>
          </w:p>
        </w:tc>
      </w:tr>
      <w:tr>
        <w:tc>
          <w:tcPr>
            <w:tcW w:type="dxa" w:w="5040"/>
          </w:tcPr>
          <w:p>
            <w:pPr>
              <w:spacing w:after="0"/>
            </w:pPr>
            <w:r>
              <w:rPr>
                <w:sz w:val="15"/>
              </w:rPr>
              <w:t>Cohort</w:t>
            </w:r>
          </w:p>
        </w:tc>
        <w:tc>
          <w:tcPr>
            <w:tcW w:type="dxa" w:w="5040"/>
          </w:tcPr>
          <w:p>
            <w:pPr>
              <w:spacing w:after="0"/>
            </w:pPr>
            <w:r>
              <w:rPr>
                <w:sz w:val="15"/>
              </w:rPr>
              <w:t>Start date, role, employer/site/team, intervention/comparison, eligibility/selection</w:t>
            </w:r>
          </w:p>
        </w:tc>
      </w:tr>
      <w:tr>
        <w:tc>
          <w:tcPr>
            <w:tcW w:type="dxa" w:w="5040"/>
          </w:tcPr>
          <w:p>
            <w:pPr>
              <w:spacing w:after="0"/>
            </w:pPr>
            <w:r>
              <w:rPr>
                <w:sz w:val="15"/>
              </w:rPr>
              <w:t>Employment</w:t>
            </w:r>
          </w:p>
        </w:tc>
        <w:tc>
          <w:tcPr>
            <w:tcW w:type="dxa" w:w="5040"/>
          </w:tcPr>
          <w:p>
            <w:pPr>
              <w:spacing w:after="0"/>
            </w:pPr>
            <w:r>
              <w:rPr>
                <w:sz w:val="15"/>
              </w:rPr>
              <w:t>Training completion, production start, exits, exit timing/reason where available</w:t>
            </w:r>
          </w:p>
        </w:tc>
      </w:tr>
      <w:tr>
        <w:tc>
          <w:tcPr>
            <w:tcW w:type="dxa" w:w="5040"/>
          </w:tcPr>
          <w:p>
            <w:pPr>
              <w:spacing w:after="0"/>
            </w:pPr>
            <w:r>
              <w:rPr>
                <w:sz w:val="15"/>
              </w:rPr>
              <w:t>Proficiency</w:t>
            </w:r>
          </w:p>
        </w:tc>
        <w:tc>
          <w:tcPr>
            <w:tcW w:type="dxa" w:w="5040"/>
          </w:tcPr>
          <w:p>
            <w:pPr>
              <w:spacing w:after="0"/>
            </w:pPr>
            <w:r>
              <w:rPr>
                <w:sz w:val="15"/>
              </w:rPr>
              <w:t>Prospective proficiency definition, date achieved, quality/productivity components</w:t>
            </w:r>
          </w:p>
        </w:tc>
      </w:tr>
      <w:tr>
        <w:tc>
          <w:tcPr>
            <w:tcW w:type="dxa" w:w="5040"/>
          </w:tcPr>
          <w:p>
            <w:pPr>
              <w:spacing w:after="0"/>
            </w:pPr>
            <w:r>
              <w:rPr>
                <w:sz w:val="15"/>
              </w:rPr>
              <w:t>Performance</w:t>
            </w:r>
          </w:p>
        </w:tc>
        <w:tc>
          <w:tcPr>
            <w:tcW w:type="dxa" w:w="5040"/>
          </w:tcPr>
          <w:p>
            <w:pPr>
              <w:spacing w:after="0"/>
            </w:pPr>
            <w:r>
              <w:rPr>
                <w:sz w:val="15"/>
              </w:rPr>
              <w:t>Quality, resolution, productivity, rework/escalation as relevant</w:t>
            </w:r>
          </w:p>
        </w:tc>
      </w:tr>
      <w:tr>
        <w:tc>
          <w:tcPr>
            <w:tcW w:type="dxa" w:w="5040"/>
          </w:tcPr>
          <w:p>
            <w:pPr>
              <w:spacing w:after="0"/>
            </w:pPr>
            <w:r>
              <w:rPr>
                <w:sz w:val="15"/>
              </w:rPr>
              <w:t>Labor cost</w:t>
            </w:r>
          </w:p>
        </w:tc>
        <w:tc>
          <w:tcPr>
            <w:tcW w:type="dxa" w:w="5040"/>
          </w:tcPr>
          <w:p>
            <w:pPr>
              <w:spacing w:after="0"/>
            </w:pPr>
            <w:r>
              <w:rPr>
                <w:sz w:val="15"/>
              </w:rPr>
              <w:t>Wage/benefit assumptions, trainer/supervisor/peer time</w:t>
            </w:r>
          </w:p>
        </w:tc>
      </w:tr>
      <w:tr>
        <w:tc>
          <w:tcPr>
            <w:tcW w:type="dxa" w:w="5040"/>
          </w:tcPr>
          <w:p>
            <w:pPr>
              <w:spacing w:after="0"/>
            </w:pPr>
            <w:r>
              <w:rPr>
                <w:sz w:val="15"/>
              </w:rPr>
              <w:t>Hiring/training cost</w:t>
            </w:r>
          </w:p>
        </w:tc>
        <w:tc>
          <w:tcPr>
            <w:tcW w:type="dxa" w:w="5040"/>
          </w:tcPr>
          <w:p>
            <w:pPr>
              <w:spacing w:after="0"/>
            </w:pPr>
            <w:r>
              <w:rPr>
                <w:sz w:val="15"/>
              </w:rPr>
              <w:t>Recruiting activities, onboarding/training hours, materials/platform</w:t>
            </w:r>
          </w:p>
        </w:tc>
      </w:tr>
      <w:tr>
        <w:tc>
          <w:tcPr>
            <w:tcW w:type="dxa" w:w="5040"/>
          </w:tcPr>
          <w:p>
            <w:pPr>
              <w:spacing w:after="0"/>
            </w:pPr>
            <w:r>
              <w:rPr>
                <w:sz w:val="15"/>
              </w:rPr>
              <w:t>Intervention cost</w:t>
            </w:r>
          </w:p>
        </w:tc>
        <w:tc>
          <w:tcPr>
            <w:tcW w:type="dxa" w:w="5040"/>
          </w:tcPr>
          <w:p>
            <w:pPr>
              <w:spacing w:after="0"/>
            </w:pPr>
            <w:r>
              <w:rPr>
                <w:sz w:val="15"/>
              </w:rPr>
              <w:t>Design, delivery, technology, evaluation/governance, maintenance</w:t>
            </w:r>
          </w:p>
        </w:tc>
      </w:tr>
      <w:tr>
        <w:tc>
          <w:tcPr>
            <w:tcW w:type="dxa" w:w="5040"/>
          </w:tcPr>
          <w:p>
            <w:pPr>
              <w:spacing w:after="0"/>
            </w:pPr>
            <w:r>
              <w:rPr>
                <w:sz w:val="15"/>
              </w:rPr>
              <w:t>Mobility</w:t>
            </w:r>
          </w:p>
        </w:tc>
        <w:tc>
          <w:tcPr>
            <w:tcW w:type="dxa" w:w="5040"/>
          </w:tcPr>
          <w:p>
            <w:pPr>
              <w:spacing w:after="0"/>
            </w:pPr>
            <w:r>
              <w:rPr>
                <w:sz w:val="15"/>
              </w:rPr>
              <w:t>Promotion/lateral/external transition, wages/job quality where Study #006 applies</w:t>
            </w:r>
          </w:p>
        </w:tc>
      </w:tr>
      <w:tr>
        <w:tc>
          <w:tcPr>
            <w:tcW w:type="dxa" w:w="5040"/>
          </w:tcPr>
          <w:p>
            <w:pPr>
              <w:spacing w:after="0"/>
            </w:pPr>
            <w:r>
              <w:rPr>
                <w:sz w:val="15"/>
              </w:rPr>
              <w:t>AI/capacity</w:t>
            </w:r>
          </w:p>
        </w:tc>
        <w:tc>
          <w:tcPr>
            <w:tcW w:type="dxa" w:w="5040"/>
          </w:tcPr>
          <w:p>
            <w:pPr>
              <w:spacing w:after="0"/>
            </w:pPr>
            <w:r>
              <w:rPr>
                <w:sz w:val="15"/>
              </w:rPr>
              <w:t>Use, time release, quality and reinvestment where Study #007 applies</w:t>
            </w:r>
          </w:p>
        </w:tc>
      </w:tr>
      <w:tr>
        <w:tc>
          <w:tcPr>
            <w:tcW w:type="dxa" w:w="5040"/>
          </w:tcPr>
          <w:p>
            <w:pPr>
              <w:spacing w:after="0"/>
            </w:pPr>
            <w:r>
              <w:rPr>
                <w:sz w:val="15"/>
              </w:rPr>
              <w:t>Context</w:t>
            </w:r>
          </w:p>
        </w:tc>
        <w:tc>
          <w:tcPr>
            <w:tcW w:type="dxa" w:w="5040"/>
          </w:tcPr>
          <w:p>
            <w:pPr>
              <w:spacing w:after="0"/>
            </w:pPr>
            <w:r>
              <w:rPr>
                <w:sz w:val="15"/>
              </w:rPr>
              <w:t>Labor market, staffing, schedule, job complexity, major change/technology events</w:t>
            </w:r>
          </w:p>
        </w:tc>
      </w:tr>
    </w:tbl>
    <w:p>
      <w:pPr>
        <w:pStyle w:val="Heading1"/>
      </w:pPr>
      <w:r>
        <w:t>23. Analysis Plan</w:t>
      </w:r>
    </w:p>
    <w:p>
      <w:pPr>
        <w:pStyle w:val="ListBullet"/>
        <w:spacing w:after="20"/>
      </w:pPr>
      <w:r>
        <w:t>Estimate effects first; monetize second.</w:t>
      </w:r>
    </w:p>
    <w:p>
      <w:pPr>
        <w:pStyle w:val="ListBullet"/>
        <w:spacing w:after="20"/>
      </w:pPr>
      <w:r>
        <w:t>Use incremental quantities multiplied by defensible unit values.</w:t>
      </w:r>
    </w:p>
    <w:p>
      <w:pPr>
        <w:pStyle w:val="ListBullet"/>
        <w:spacing w:after="20"/>
      </w:pPr>
      <w:r>
        <w:t>Separate observed costs from allocated/modelled costs.</w:t>
      </w:r>
    </w:p>
    <w:p>
      <w:pPr>
        <w:pStyle w:val="ListBullet"/>
        <w:spacing w:after="20"/>
      </w:pPr>
      <w:r>
        <w:t>Report employer, participant, partner and public perspectives separately before any aggregate view.</w:t>
      </w:r>
    </w:p>
    <w:p>
      <w:pPr>
        <w:pStyle w:val="ListBullet"/>
        <w:spacing w:after="20"/>
      </w:pPr>
      <w:r>
        <w:t>Use appropriate time horizon and discounting for delayed benefits/costs.</w:t>
      </w:r>
    </w:p>
    <w:p>
      <w:pPr>
        <w:pStyle w:val="ListBullet"/>
        <w:spacing w:after="20"/>
      </w:pPr>
      <w:r>
        <w:t>Adjust for selection and confounding using the strongest feasible design.</w:t>
      </w:r>
    </w:p>
    <w:p>
      <w:pPr>
        <w:pStyle w:val="ListBullet"/>
        <w:spacing w:after="20"/>
      </w:pPr>
      <w:r>
        <w:t>Test heterogeneity by employer, job complexity, baseline turnover, participant group, implementation quality and scale.</w:t>
      </w:r>
    </w:p>
    <w:p>
      <w:pPr>
        <w:pStyle w:val="ListBullet"/>
        <w:spacing w:after="20"/>
      </w:pPr>
      <w:r>
        <w:t>Conduct sensitivity and break-even analysis for all decision-critical uncertain parameters.</w:t>
      </w:r>
    </w:p>
    <w:p>
      <w:pPr>
        <w:pStyle w:val="ListBullet"/>
        <w:spacing w:after="20"/>
      </w:pPr>
      <w:r>
        <w:t>Report nonmonetized material outcomes alongside monetary results.</w:t>
      </w:r>
    </w:p>
    <w:p>
      <w:pPr>
        <w:pStyle w:val="ListBullet"/>
        <w:spacing w:after="20"/>
      </w:pPr>
      <w:r>
        <w:t>Preserve null/negative ROI results and explain which assumptions/outcomes drive them.</w:t>
      </w:r>
    </w:p>
    <w:p>
      <w:pPr>
        <w:pStyle w:val="Heading1"/>
      </w:pPr>
      <w:r>
        <w:t>24. Claim Ladder</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5"/>
              </w:rPr>
              <w:t>Level</w:t>
            </w:r>
          </w:p>
        </w:tc>
        <w:tc>
          <w:tcPr>
            <w:tcW w:type="dxa" w:w="3360"/>
            <w:shd w:fill="0B3A53"/>
          </w:tcPr>
          <w:p>
            <w:r>
              <w:rPr>
                <w:b/>
                <w:color w:val="FFFFFF"/>
                <w:sz w:val="15"/>
              </w:rPr>
              <w:t>Permitted claim</w:t>
            </w:r>
          </w:p>
        </w:tc>
        <w:tc>
          <w:tcPr>
            <w:tcW w:type="dxa" w:w="3360"/>
            <w:shd w:fill="0B3A53"/>
          </w:tcPr>
          <w:p>
            <w:r>
              <w:rPr>
                <w:b/>
                <w:color w:val="FFFFFF"/>
                <w:sz w:val="15"/>
              </w:rPr>
              <w:t>Minimum evidence</w:t>
            </w:r>
          </w:p>
        </w:tc>
      </w:tr>
      <w:tr>
        <w:tc>
          <w:tcPr>
            <w:tcW w:type="dxa" w:w="3360"/>
          </w:tcPr>
          <w:p>
            <w:pPr>
              <w:spacing w:after="0"/>
            </w:pPr>
            <w:r>
              <w:rPr>
                <w:sz w:val="15"/>
              </w:rPr>
              <w:t>0 — Cost description</w:t>
            </w:r>
          </w:p>
        </w:tc>
        <w:tc>
          <w:tcPr>
            <w:tcW w:type="dxa" w:w="3360"/>
          </w:tcPr>
          <w:p>
            <w:pPr>
              <w:spacing w:after="0"/>
            </w:pPr>
            <w:r>
              <w:rPr>
                <w:sz w:val="15"/>
              </w:rPr>
              <w:t>The intervention costs approximately X under defined assumptions.</w:t>
            </w:r>
          </w:p>
        </w:tc>
        <w:tc>
          <w:tcPr>
            <w:tcW w:type="dxa" w:w="3360"/>
          </w:tcPr>
          <w:p>
            <w:pPr>
              <w:spacing w:after="0"/>
            </w:pPr>
            <w:r>
              <w:rPr>
                <w:sz w:val="15"/>
              </w:rPr>
              <w:t>Transparent cost ledger</w:t>
            </w:r>
          </w:p>
        </w:tc>
      </w:tr>
      <w:tr>
        <w:tc>
          <w:tcPr>
            <w:tcW w:type="dxa" w:w="3360"/>
          </w:tcPr>
          <w:p>
            <w:pPr>
              <w:spacing w:after="0"/>
            </w:pPr>
            <w:r>
              <w:rPr>
                <w:sz w:val="15"/>
              </w:rPr>
              <w:t>1 — Break-even case</w:t>
            </w:r>
          </w:p>
        </w:tc>
        <w:tc>
          <w:tcPr>
            <w:tcW w:type="dxa" w:w="3360"/>
          </w:tcPr>
          <w:p>
            <w:pPr>
              <w:spacing w:after="0"/>
            </w:pPr>
            <w:r>
              <w:rPr>
                <w:sz w:val="15"/>
              </w:rPr>
              <w:t>The intervention would break even if outcome X changes by Y.</w:t>
            </w:r>
          </w:p>
        </w:tc>
        <w:tc>
          <w:tcPr>
            <w:tcW w:type="dxa" w:w="3360"/>
          </w:tcPr>
          <w:p>
            <w:pPr>
              <w:spacing w:after="0"/>
            </w:pPr>
            <w:r>
              <w:rPr>
                <w:sz w:val="15"/>
              </w:rPr>
              <w:t>Defensible costs + threshold analysis</w:t>
            </w:r>
          </w:p>
        </w:tc>
      </w:tr>
      <w:tr>
        <w:tc>
          <w:tcPr>
            <w:tcW w:type="dxa" w:w="3360"/>
          </w:tcPr>
          <w:p>
            <w:pPr>
              <w:spacing w:after="0"/>
            </w:pPr>
            <w:r>
              <w:rPr>
                <w:sz w:val="15"/>
              </w:rPr>
              <w:t>2 — Outcome association</w:t>
            </w:r>
          </w:p>
        </w:tc>
        <w:tc>
          <w:tcPr>
            <w:tcW w:type="dxa" w:w="3360"/>
          </w:tcPr>
          <w:p>
            <w:pPr>
              <w:spacing w:after="0"/>
            </w:pPr>
            <w:r>
              <w:rPr>
                <w:sz w:val="15"/>
              </w:rPr>
              <w:t>Readiness is associated with economically relevant outcome X.</w:t>
            </w:r>
          </w:p>
        </w:tc>
        <w:tc>
          <w:tcPr>
            <w:tcW w:type="dxa" w:w="3360"/>
          </w:tcPr>
          <w:p>
            <w:pPr>
              <w:spacing w:after="0"/>
            </w:pPr>
            <w:r>
              <w:rPr>
                <w:sz w:val="15"/>
              </w:rPr>
              <w:t>Adequate observational evidence</w:t>
            </w:r>
          </w:p>
        </w:tc>
      </w:tr>
      <w:tr>
        <w:tc>
          <w:tcPr>
            <w:tcW w:type="dxa" w:w="3360"/>
          </w:tcPr>
          <w:p>
            <w:pPr>
              <w:spacing w:after="0"/>
            </w:pPr>
            <w:r>
              <w:rPr>
                <w:sz w:val="15"/>
              </w:rPr>
              <w:t>3 — Incremental outcome</w:t>
            </w:r>
          </w:p>
        </w:tc>
        <w:tc>
          <w:tcPr>
            <w:tcW w:type="dxa" w:w="3360"/>
          </w:tcPr>
          <w:p>
            <w:pPr>
              <w:spacing w:after="0"/>
            </w:pPr>
            <w:r>
              <w:rPr>
                <w:sz w:val="15"/>
              </w:rPr>
              <w:t>The intervention changes X relative to a credible counterfactual.</w:t>
            </w:r>
          </w:p>
        </w:tc>
        <w:tc>
          <w:tcPr>
            <w:tcW w:type="dxa" w:w="3360"/>
          </w:tcPr>
          <w:p>
            <w:pPr>
              <w:spacing w:after="0"/>
            </w:pPr>
            <w:r>
              <w:rPr>
                <w:sz w:val="15"/>
              </w:rPr>
              <w:t>Longitudinal/comparative causal evidence</w:t>
            </w:r>
          </w:p>
        </w:tc>
      </w:tr>
      <w:tr>
        <w:tc>
          <w:tcPr>
            <w:tcW w:type="dxa" w:w="3360"/>
          </w:tcPr>
          <w:p>
            <w:pPr>
              <w:spacing w:after="0"/>
            </w:pPr>
            <w:r>
              <w:rPr>
                <w:sz w:val="15"/>
              </w:rPr>
              <w:t>4 — Economic effect</w:t>
            </w:r>
          </w:p>
        </w:tc>
        <w:tc>
          <w:tcPr>
            <w:tcW w:type="dxa" w:w="3360"/>
          </w:tcPr>
          <w:p>
            <w:pPr>
              <w:spacing w:after="0"/>
            </w:pPr>
            <w:r>
              <w:rPr>
                <w:sz w:val="15"/>
              </w:rPr>
              <w:t>Incremental monetized benefits exceed/fall below costs in setting Y.</w:t>
            </w:r>
          </w:p>
        </w:tc>
        <w:tc>
          <w:tcPr>
            <w:tcW w:type="dxa" w:w="3360"/>
          </w:tcPr>
          <w:p>
            <w:pPr>
              <w:spacing w:after="0"/>
            </w:pPr>
            <w:r>
              <w:rPr>
                <w:sz w:val="15"/>
              </w:rPr>
              <w:t>Validated effects + complete cost model</w:t>
            </w:r>
          </w:p>
        </w:tc>
      </w:tr>
      <w:tr>
        <w:tc>
          <w:tcPr>
            <w:tcW w:type="dxa" w:w="3360"/>
          </w:tcPr>
          <w:p>
            <w:pPr>
              <w:spacing w:after="0"/>
            </w:pPr>
            <w:r>
              <w:rPr>
                <w:sz w:val="15"/>
              </w:rPr>
              <w:t>5 — Replicated value</w:t>
            </w:r>
          </w:p>
        </w:tc>
        <w:tc>
          <w:tcPr>
            <w:tcW w:type="dxa" w:w="3360"/>
          </w:tcPr>
          <w:p>
            <w:pPr>
              <w:spacing w:after="0"/>
            </w:pPr>
            <w:r>
              <w:rPr>
                <w:sz w:val="15"/>
              </w:rPr>
              <w:t>Positive/negative economics replicate across settings.</w:t>
            </w:r>
          </w:p>
        </w:tc>
        <w:tc>
          <w:tcPr>
            <w:tcW w:type="dxa" w:w="3360"/>
          </w:tcPr>
          <w:p>
            <w:pPr>
              <w:spacing w:after="0"/>
            </w:pPr>
            <w:r>
              <w:rPr>
                <w:sz w:val="15"/>
              </w:rPr>
              <w:t>Multi-employer replication</w:t>
            </w:r>
          </w:p>
        </w:tc>
      </w:tr>
      <w:tr>
        <w:tc>
          <w:tcPr>
            <w:tcW w:type="dxa" w:w="3360"/>
          </w:tcPr>
          <w:p>
            <w:pPr>
              <w:spacing w:after="0"/>
            </w:pPr>
            <w:r>
              <w:rPr>
                <w:sz w:val="15"/>
              </w:rPr>
              <w:t>6 — Commercial/economic validation</w:t>
            </w:r>
          </w:p>
        </w:tc>
        <w:tc>
          <w:tcPr>
            <w:tcW w:type="dxa" w:w="3360"/>
          </w:tcPr>
          <w:p>
            <w:pPr>
              <w:spacing w:after="0"/>
            </w:pPr>
            <w:r>
              <w:rPr>
                <w:sz w:val="15"/>
              </w:rPr>
              <w:t>A defined buyer repeatedly pays/funds based on demonstrated value.</w:t>
            </w:r>
          </w:p>
        </w:tc>
        <w:tc>
          <w:tcPr>
            <w:tcW w:type="dxa" w:w="3360"/>
          </w:tcPr>
          <w:p>
            <w:pPr>
              <w:spacing w:after="0"/>
            </w:pPr>
            <w:r>
              <w:rPr>
                <w:sz w:val="15"/>
              </w:rPr>
              <w:t>Replicated economics + observed buyer behavior</w:t>
            </w:r>
          </w:p>
        </w:tc>
      </w:tr>
    </w:tbl>
    <w:p>
      <w:pPr>
        <w:pStyle w:val="Heading1"/>
      </w:pPr>
      <w:r>
        <w:t>25. Falsification Register</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4"/>
              </w:rPr>
              <w:t>ID</w:t>
            </w:r>
          </w:p>
        </w:tc>
        <w:tc>
          <w:tcPr>
            <w:tcW w:type="dxa" w:w="5040"/>
            <w:shd w:fill="0B3A53"/>
          </w:tcPr>
          <w:p>
            <w:r>
              <w:rPr>
                <w:b/>
                <w:color w:val="FFFFFF"/>
                <w:sz w:val="14"/>
              </w:rPr>
              <w:t>Condition that weakens, narrows or disproves the thesis</w:t>
            </w:r>
          </w:p>
        </w:tc>
      </w:tr>
      <w:tr>
        <w:tc>
          <w:tcPr>
            <w:tcW w:type="dxa" w:w="5040"/>
          </w:tcPr>
          <w:p>
            <w:pPr>
              <w:spacing w:after="0"/>
            </w:pPr>
            <w:r>
              <w:rPr>
                <w:sz w:val="14"/>
              </w:rPr>
              <w:t>F1</w:t>
            </w:r>
          </w:p>
        </w:tc>
        <w:tc>
          <w:tcPr>
            <w:tcW w:type="dxa" w:w="5040"/>
          </w:tcPr>
          <w:p>
            <w:pPr>
              <w:spacing w:after="0"/>
            </w:pPr>
            <w:r>
              <w:rPr>
                <w:sz w:val="14"/>
              </w:rPr>
              <w:t>ResolveCX does not produce incremental outcome improvements versus credible alternatives.</w:t>
            </w:r>
          </w:p>
        </w:tc>
      </w:tr>
      <w:tr>
        <w:tc>
          <w:tcPr>
            <w:tcW w:type="dxa" w:w="5040"/>
          </w:tcPr>
          <w:p>
            <w:pPr>
              <w:spacing w:after="0"/>
            </w:pPr>
            <w:r>
              <w:rPr>
                <w:sz w:val="14"/>
              </w:rPr>
              <w:t>F2</w:t>
            </w:r>
          </w:p>
        </w:tc>
        <w:tc>
          <w:tcPr>
            <w:tcW w:type="dxa" w:w="5040"/>
          </w:tcPr>
          <w:p>
            <w:pPr>
              <w:spacing w:after="0"/>
            </w:pPr>
            <w:r>
              <w:rPr>
                <w:sz w:val="14"/>
              </w:rPr>
              <w:t>Outcome improvements exist but are too small to recover implementation cost.</w:t>
            </w:r>
          </w:p>
        </w:tc>
      </w:tr>
      <w:tr>
        <w:tc>
          <w:tcPr>
            <w:tcW w:type="dxa" w:w="5040"/>
          </w:tcPr>
          <w:p>
            <w:pPr>
              <w:spacing w:after="0"/>
            </w:pPr>
            <w:r>
              <w:rPr>
                <w:sz w:val="14"/>
              </w:rPr>
              <w:t>F3</w:t>
            </w:r>
          </w:p>
        </w:tc>
        <w:tc>
          <w:tcPr>
            <w:tcW w:type="dxa" w:w="5040"/>
          </w:tcPr>
          <w:p>
            <w:pPr>
              <w:spacing w:after="0"/>
            </w:pPr>
            <w:r>
              <w:rPr>
                <w:sz w:val="14"/>
              </w:rPr>
              <w:t>Positive ROI disappears under conservative but plausible assumptions.</w:t>
            </w:r>
          </w:p>
        </w:tc>
      </w:tr>
      <w:tr>
        <w:tc>
          <w:tcPr>
            <w:tcW w:type="dxa" w:w="5040"/>
          </w:tcPr>
          <w:p>
            <w:pPr>
              <w:spacing w:after="0"/>
            </w:pPr>
            <w:r>
              <w:rPr>
                <w:sz w:val="14"/>
              </w:rPr>
              <w:t>F4</w:t>
            </w:r>
          </w:p>
        </w:tc>
        <w:tc>
          <w:tcPr>
            <w:tcW w:type="dxa" w:w="5040"/>
          </w:tcPr>
          <w:p>
            <w:pPr>
              <w:spacing w:after="0"/>
            </w:pPr>
            <w:r>
              <w:rPr>
                <w:sz w:val="14"/>
              </w:rPr>
              <w:t>Apparent savings are primarily accounting transfers rather than real resource/capacity value.</w:t>
            </w:r>
          </w:p>
        </w:tc>
      </w:tr>
      <w:tr>
        <w:tc>
          <w:tcPr>
            <w:tcW w:type="dxa" w:w="5040"/>
          </w:tcPr>
          <w:p>
            <w:pPr>
              <w:spacing w:after="0"/>
            </w:pPr>
            <w:r>
              <w:rPr>
                <w:sz w:val="14"/>
              </w:rPr>
              <w:t>F5</w:t>
            </w:r>
          </w:p>
        </w:tc>
        <w:tc>
          <w:tcPr>
            <w:tcW w:type="dxa" w:w="5040"/>
          </w:tcPr>
          <w:p>
            <w:pPr>
              <w:spacing w:after="0"/>
            </w:pPr>
            <w:r>
              <w:rPr>
                <w:sz w:val="14"/>
              </w:rPr>
              <w:t>Turnover reduction is offset by higher wages, staffing, supervision or other costs without sufficient benefit.</w:t>
            </w:r>
          </w:p>
        </w:tc>
      </w:tr>
      <w:tr>
        <w:tc>
          <w:tcPr>
            <w:tcW w:type="dxa" w:w="5040"/>
          </w:tcPr>
          <w:p>
            <w:pPr>
              <w:spacing w:after="0"/>
            </w:pPr>
            <w:r>
              <w:rPr>
                <w:sz w:val="14"/>
              </w:rPr>
              <w:t>F6</w:t>
            </w:r>
          </w:p>
        </w:tc>
        <w:tc>
          <w:tcPr>
            <w:tcW w:type="dxa" w:w="5040"/>
          </w:tcPr>
          <w:p>
            <w:pPr>
              <w:spacing w:after="0"/>
            </w:pPr>
            <w:r>
              <w:rPr>
                <w:sz w:val="14"/>
              </w:rPr>
              <w:t>Faster proficiency reduces quality/customer outcomes enough to erase economic gains.</w:t>
            </w:r>
          </w:p>
        </w:tc>
      </w:tr>
      <w:tr>
        <w:tc>
          <w:tcPr>
            <w:tcW w:type="dxa" w:w="5040"/>
          </w:tcPr>
          <w:p>
            <w:pPr>
              <w:spacing w:after="0"/>
            </w:pPr>
            <w:r>
              <w:rPr>
                <w:sz w:val="14"/>
              </w:rPr>
              <w:t>F7</w:t>
            </w:r>
          </w:p>
        </w:tc>
        <w:tc>
          <w:tcPr>
            <w:tcW w:type="dxa" w:w="5040"/>
          </w:tcPr>
          <w:p>
            <w:pPr>
              <w:spacing w:after="0"/>
            </w:pPr>
            <w:r>
              <w:rPr>
                <w:sz w:val="14"/>
              </w:rPr>
              <w:t>Employer ROI is positive but participant outcomes are neutral/negative in ways inconsistent with the mission.</w:t>
            </w:r>
          </w:p>
        </w:tc>
      </w:tr>
      <w:tr>
        <w:tc>
          <w:tcPr>
            <w:tcW w:type="dxa" w:w="5040"/>
          </w:tcPr>
          <w:p>
            <w:pPr>
              <w:spacing w:after="0"/>
            </w:pPr>
            <w:r>
              <w:rPr>
                <w:sz w:val="14"/>
              </w:rPr>
              <w:t>F8</w:t>
            </w:r>
          </w:p>
        </w:tc>
        <w:tc>
          <w:tcPr>
            <w:tcW w:type="dxa" w:w="5040"/>
          </w:tcPr>
          <w:p>
            <w:pPr>
              <w:spacing w:after="0"/>
            </w:pPr>
            <w:r>
              <w:rPr>
                <w:sz w:val="14"/>
              </w:rPr>
              <w:t>Participant economic mobility improves but no plausible buyer captures enough value to sustain the model.</w:t>
            </w:r>
          </w:p>
        </w:tc>
      </w:tr>
      <w:tr>
        <w:tc>
          <w:tcPr>
            <w:tcW w:type="dxa" w:w="5040"/>
          </w:tcPr>
          <w:p>
            <w:pPr>
              <w:spacing w:after="0"/>
            </w:pPr>
            <w:r>
              <w:rPr>
                <w:sz w:val="14"/>
              </w:rPr>
              <w:t>F9</w:t>
            </w:r>
          </w:p>
        </w:tc>
        <w:tc>
          <w:tcPr>
            <w:tcW w:type="dxa" w:w="5040"/>
          </w:tcPr>
          <w:p>
            <w:pPr>
              <w:spacing w:after="0"/>
            </w:pPr>
            <w:r>
              <w:rPr>
                <w:sz w:val="14"/>
              </w:rPr>
              <w:t>A lower-cost existing intervention produces equivalent or better outcomes.</w:t>
            </w:r>
          </w:p>
        </w:tc>
      </w:tr>
      <w:tr>
        <w:tc>
          <w:tcPr>
            <w:tcW w:type="dxa" w:w="5040"/>
          </w:tcPr>
          <w:p>
            <w:pPr>
              <w:spacing w:after="0"/>
            </w:pPr>
            <w:r>
              <w:rPr>
                <w:sz w:val="14"/>
              </w:rPr>
              <w:t>F10</w:t>
            </w:r>
          </w:p>
        </w:tc>
        <w:tc>
          <w:tcPr>
            <w:tcW w:type="dxa" w:w="5040"/>
          </w:tcPr>
          <w:p>
            <w:pPr>
              <w:spacing w:after="0"/>
            </w:pPr>
            <w:r>
              <w:rPr>
                <w:sz w:val="14"/>
              </w:rPr>
              <w:t>Implementation/evaluation/governance burden makes the intervention uneconomical.</w:t>
            </w:r>
          </w:p>
        </w:tc>
      </w:tr>
      <w:tr>
        <w:tc>
          <w:tcPr>
            <w:tcW w:type="dxa" w:w="5040"/>
          </w:tcPr>
          <w:p>
            <w:pPr>
              <w:spacing w:after="0"/>
            </w:pPr>
            <w:r>
              <w:rPr>
                <w:sz w:val="14"/>
              </w:rPr>
              <w:t>F11</w:t>
            </w:r>
          </w:p>
        </w:tc>
        <w:tc>
          <w:tcPr>
            <w:tcW w:type="dxa" w:w="5040"/>
          </w:tcPr>
          <w:p>
            <w:pPr>
              <w:spacing w:after="0"/>
            </w:pPr>
            <w:r>
              <w:rPr>
                <w:sz w:val="14"/>
              </w:rPr>
              <w:t>Benefits do not persist long enough to reach payback.</w:t>
            </w:r>
          </w:p>
        </w:tc>
      </w:tr>
      <w:tr>
        <w:tc>
          <w:tcPr>
            <w:tcW w:type="dxa" w:w="5040"/>
          </w:tcPr>
          <w:p>
            <w:pPr>
              <w:spacing w:after="0"/>
            </w:pPr>
            <w:r>
              <w:rPr>
                <w:sz w:val="14"/>
              </w:rPr>
              <w:t>F12</w:t>
            </w:r>
          </w:p>
        </w:tc>
        <w:tc>
          <w:tcPr>
            <w:tcW w:type="dxa" w:w="5040"/>
          </w:tcPr>
          <w:p>
            <w:pPr>
              <w:spacing w:after="0"/>
            </w:pPr>
            <w:r>
              <w:rPr>
                <w:sz w:val="14"/>
              </w:rPr>
              <w:t>Positive results depend on a narrow employer context and fail replication.</w:t>
            </w:r>
          </w:p>
        </w:tc>
      </w:tr>
      <w:tr>
        <w:tc>
          <w:tcPr>
            <w:tcW w:type="dxa" w:w="5040"/>
          </w:tcPr>
          <w:p>
            <w:pPr>
              <w:spacing w:after="0"/>
            </w:pPr>
            <w:r>
              <w:rPr>
                <w:sz w:val="14"/>
              </w:rPr>
              <w:t>F13</w:t>
            </w:r>
          </w:p>
        </w:tc>
        <w:tc>
          <w:tcPr>
            <w:tcW w:type="dxa" w:w="5040"/>
          </w:tcPr>
          <w:p>
            <w:pPr>
              <w:spacing w:after="0"/>
            </w:pPr>
            <w:r>
              <w:rPr>
                <w:sz w:val="14"/>
              </w:rPr>
              <w:t>Scale increases cost or reduces outcomes enough to eliminate unit-economic advantage.</w:t>
            </w:r>
          </w:p>
        </w:tc>
      </w:tr>
      <w:tr>
        <w:tc>
          <w:tcPr>
            <w:tcW w:type="dxa" w:w="5040"/>
          </w:tcPr>
          <w:p>
            <w:pPr>
              <w:spacing w:after="0"/>
            </w:pPr>
            <w:r>
              <w:rPr>
                <w:sz w:val="14"/>
              </w:rPr>
              <w:t>F14</w:t>
            </w:r>
          </w:p>
        </w:tc>
        <w:tc>
          <w:tcPr>
            <w:tcW w:type="dxa" w:w="5040"/>
          </w:tcPr>
          <w:p>
            <w:pPr>
              <w:spacing w:after="0"/>
            </w:pPr>
            <w:r>
              <w:rPr>
                <w:sz w:val="14"/>
              </w:rPr>
              <w:t>Employer willingness to pay remains below sustainable ResolveCX delivery cost despite demonstrated outcomes.</w:t>
            </w:r>
          </w:p>
        </w:tc>
      </w:tr>
      <w:tr>
        <w:tc>
          <w:tcPr>
            <w:tcW w:type="dxa" w:w="5040"/>
          </w:tcPr>
          <w:p>
            <w:pPr>
              <w:spacing w:after="0"/>
            </w:pPr>
            <w:r>
              <w:rPr>
                <w:sz w:val="14"/>
              </w:rPr>
              <w:t>F15</w:t>
            </w:r>
          </w:p>
        </w:tc>
        <w:tc>
          <w:tcPr>
            <w:tcW w:type="dxa" w:w="5040"/>
          </w:tcPr>
          <w:p>
            <w:pPr>
              <w:spacing w:after="0"/>
            </w:pPr>
            <w:r>
              <w:rPr>
                <w:sz w:val="14"/>
              </w:rPr>
              <w:t>The largest assumed benefit stream cannot be measured or causally attributed with adequate confidence.</w:t>
            </w:r>
          </w:p>
        </w:tc>
      </w:tr>
      <w:tr>
        <w:tc>
          <w:tcPr>
            <w:tcW w:type="dxa" w:w="5040"/>
          </w:tcPr>
          <w:p>
            <w:pPr>
              <w:spacing w:after="0"/>
            </w:pPr>
            <w:r>
              <w:rPr>
                <w:sz w:val="14"/>
              </w:rPr>
              <w:t>F16</w:t>
            </w:r>
          </w:p>
        </w:tc>
        <w:tc>
          <w:tcPr>
            <w:tcW w:type="dxa" w:w="5040"/>
          </w:tcPr>
          <w:p>
            <w:pPr>
              <w:spacing w:after="0"/>
            </w:pPr>
            <w:r>
              <w:rPr>
                <w:sz w:val="14"/>
              </w:rPr>
              <w:t>Aggregate positive value depends on material harms/cost shifts to workers, customers or public partners.</w:t>
            </w:r>
          </w:p>
        </w:tc>
      </w:tr>
      <w:tr>
        <w:tc>
          <w:tcPr>
            <w:tcW w:type="dxa" w:w="5040"/>
          </w:tcPr>
          <w:p>
            <w:pPr>
              <w:spacing w:after="0"/>
            </w:pPr>
            <w:r>
              <w:rPr>
                <w:sz w:val="14"/>
              </w:rPr>
              <w:t>F17</w:t>
            </w:r>
          </w:p>
        </w:tc>
        <w:tc>
          <w:tcPr>
            <w:tcW w:type="dxa" w:w="5040"/>
          </w:tcPr>
          <w:p>
            <w:pPr>
              <w:spacing w:after="0"/>
            </w:pPr>
            <w:r>
              <w:rPr>
                <w:sz w:val="14"/>
              </w:rPr>
              <w:t>Readiness preparation is less cost-effective than addressing compensation, scheduling, staffing, leadership, process or technology directly.</w:t>
            </w:r>
          </w:p>
        </w:tc>
      </w:tr>
      <w:tr>
        <w:tc>
          <w:tcPr>
            <w:tcW w:type="dxa" w:w="5040"/>
          </w:tcPr>
          <w:p>
            <w:pPr>
              <w:spacing w:after="0"/>
            </w:pPr>
            <w:r>
              <w:rPr>
                <w:sz w:val="14"/>
              </w:rPr>
              <w:t>F18</w:t>
            </w:r>
          </w:p>
        </w:tc>
        <w:tc>
          <w:tcPr>
            <w:tcW w:type="dxa" w:w="5040"/>
          </w:tcPr>
          <w:p>
            <w:pPr>
              <w:spacing w:after="0"/>
            </w:pPr>
            <w:r>
              <w:rPr>
                <w:sz w:val="14"/>
              </w:rPr>
              <w:t>ROI is positive only when speculative customer/revenue benefits are included; validated operational benefits alone do not justify investment.</w:t>
            </w:r>
          </w:p>
        </w:tc>
      </w:tr>
    </w:tbl>
    <w:p>
      <w:pPr>
        <w:pStyle w:val="Heading1"/>
      </w:pPr>
      <w:r>
        <w:t>26. ResolveCX Proof Boundary</w:t>
      </w:r>
    </w:p>
    <w:p>
      <w:r>
        <w:t>Studies #001–#007 can establish whether readiness-related factors and interventions affect meaningful outcomes. Study #008 can translate sufficiently credible incremental effects into economic consequences. Neither external literature nor modeled scenarios can prove that ResolveCX itself generates ROI. A ResolveCX ROI claim requires observed ResolveCX costs, a credible counterfactual, validated incremental outcomes, defensible monetization, uncertainty analysis, and an explicit stakeholder perspective.</w:t>
      </w:r>
    </w:p>
    <w:p>
      <w:pPr>
        <w:pStyle w:val="Heading1"/>
      </w:pPr>
      <w:r>
        <w:t>27. Ongoing Research Publication Language</w:t>
      </w:r>
    </w:p>
    <w:p>
      <w:r>
        <w:t>Research Status: Ongoing. ResolveCX is examining the economic consequences of frontline readiness using external evidence, employer cost structures, validated outcomes from the broader research program, and—when justified—direct intervention evaluation. Scenario or break-even estimates will be labeled as modeled estimates rather than realized ROI. Preliminary findings will not be represented as universal contact-center economics.</w:t>
      </w:r>
    </w:p>
    <w:p>
      <w:pPr>
        <w:pStyle w:val="Heading1"/>
      </w:pPr>
      <w:r>
        <w:t>28. Research Quality and Release Standards</w:t>
      </w:r>
    </w:p>
    <w:p>
      <w:pPr>
        <w:pStyle w:val="ListBullet"/>
        <w:spacing w:after="20"/>
      </w:pPr>
      <w:r>
        <w:t>Estimate effects before monetizing them.</w:t>
      </w:r>
    </w:p>
    <w:p>
      <w:pPr>
        <w:pStyle w:val="ListBullet"/>
        <w:spacing w:after="20"/>
      </w:pPr>
      <w:r>
        <w:t>Require a credible counterfactual for ROI claims.</w:t>
      </w:r>
    </w:p>
    <w:p>
      <w:pPr>
        <w:pStyle w:val="ListBullet"/>
        <w:spacing w:after="20"/>
      </w:pPr>
      <w:r>
        <w:t>Count all material implementation and opportunity costs.</w:t>
      </w:r>
    </w:p>
    <w:p>
      <w:pPr>
        <w:pStyle w:val="ListBullet"/>
        <w:spacing w:after="20"/>
      </w:pPr>
      <w:r>
        <w:t>Prevent double counting across value streams.</w:t>
      </w:r>
    </w:p>
    <w:p>
      <w:pPr>
        <w:pStyle w:val="ListBullet"/>
        <w:spacing w:after="20"/>
      </w:pPr>
      <w:r>
        <w:t>Separate stakeholder perspectives and distribution.</w:t>
      </w:r>
    </w:p>
    <w:p>
      <w:pPr>
        <w:pStyle w:val="ListBullet"/>
        <w:spacing w:after="20"/>
      </w:pPr>
      <w:r>
        <w:t>Use employer-specific unit costs where feasible; do not rely on generic turnover multipliers as primary evidence.</w:t>
      </w:r>
    </w:p>
    <w:p>
      <w:pPr>
        <w:pStyle w:val="ListBullet"/>
        <w:spacing w:after="20"/>
      </w:pPr>
      <w:r>
        <w:t>Do not monetize speculative NPS/CSAT/revenue relationships without evidence.</w:t>
      </w:r>
    </w:p>
    <w:p>
      <w:pPr>
        <w:pStyle w:val="ListBullet"/>
        <w:spacing w:after="20"/>
      </w:pPr>
      <w:r>
        <w:t>Use sensitivity, scenario and break-even analysis.</w:t>
      </w:r>
    </w:p>
    <w:p>
      <w:pPr>
        <w:pStyle w:val="ListBullet"/>
        <w:spacing w:after="20"/>
      </w:pPr>
      <w:r>
        <w:t>Report payback timing and benefit duration.</w:t>
      </w:r>
    </w:p>
    <w:p>
      <w:pPr>
        <w:pStyle w:val="ListBullet"/>
        <w:spacing w:after="20"/>
      </w:pPr>
      <w:r>
        <w:t>Compare ResolveCX with viable alternatives, not only no intervention.</w:t>
      </w:r>
    </w:p>
    <w:p>
      <w:pPr>
        <w:pStyle w:val="ListBullet"/>
        <w:spacing w:after="20"/>
      </w:pPr>
      <w:r>
        <w:t>Preserve nonmonetized material benefits and harms.</w:t>
      </w:r>
    </w:p>
    <w:p>
      <w:pPr>
        <w:pStyle w:val="ListBullet"/>
        <w:spacing w:after="20"/>
      </w:pPr>
      <w:r>
        <w:t>Require observed buyer behavior before claiming commercial validation.</w:t>
      </w:r>
    </w:p>
    <w:p>
      <w:pPr>
        <w:pStyle w:val="ListBullet"/>
        <w:spacing w:after="20"/>
      </w:pPr>
      <w:r>
        <w:t>Require direct ResolveCX evaluation before ResolveCX ROI claims.</w:t>
      </w:r>
    </w:p>
    <w:p>
      <w:pPr>
        <w:pStyle w:val="ListBullet"/>
        <w:spacing w:after="20"/>
      </w:pPr>
      <w:r>
        <w:t>Require replication before broad industry economic claims.</w:t>
      </w:r>
    </w:p>
    <w:p>
      <w:pPr>
        <w:pStyle w:val="Heading1"/>
      </w:pPr>
      <w:r>
        <w:t>29. Initial Evidence Registry — Study #008</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0B3A53"/>
          </w:tcPr>
          <w:p>
            <w:r>
              <w:rPr>
                <w:b/>
                <w:color w:val="FFFFFF"/>
                <w:sz w:val="14"/>
              </w:rPr>
              <w:t>Source</w:t>
            </w:r>
          </w:p>
        </w:tc>
        <w:tc>
          <w:tcPr>
            <w:tcW w:type="dxa" w:w="3360"/>
            <w:shd w:fill="0B3A53"/>
          </w:tcPr>
          <w:p>
            <w:r>
              <w:rPr>
                <w:b/>
                <w:color w:val="FFFFFF"/>
                <w:sz w:val="14"/>
              </w:rPr>
              <w:t>Evidence role</w:t>
            </w:r>
          </w:p>
        </w:tc>
        <w:tc>
          <w:tcPr>
            <w:tcW w:type="dxa" w:w="3360"/>
            <w:shd w:fill="0B3A53"/>
          </w:tcPr>
          <w:p>
            <w:r>
              <w:rPr>
                <w:b/>
                <w:color w:val="FFFFFF"/>
                <w:sz w:val="14"/>
              </w:rPr>
              <w:t>Locator</w:t>
            </w:r>
          </w:p>
        </w:tc>
      </w:tr>
      <w:tr>
        <w:tc>
          <w:tcPr>
            <w:tcW w:type="dxa" w:w="3360"/>
          </w:tcPr>
          <w:p>
            <w:pPr>
              <w:spacing w:after="0"/>
            </w:pPr>
            <w:r>
              <w:rPr>
                <w:sz w:val="14"/>
              </w:rPr>
              <w:t>U.S. Department of Labor. The Return on Investment (ROI) to Employers from Registered Apprenticeships (2026 release).</w:t>
            </w:r>
          </w:p>
        </w:tc>
        <w:tc>
          <w:tcPr>
            <w:tcW w:type="dxa" w:w="3360"/>
          </w:tcPr>
          <w:p>
            <w:pPr>
              <w:spacing w:after="0"/>
            </w:pPr>
            <w:r>
              <w:rPr>
                <w:sz w:val="14"/>
              </w:rPr>
              <w:t>Employer training ROI evidence/review</w:t>
            </w:r>
          </w:p>
        </w:tc>
        <w:tc>
          <w:tcPr>
            <w:tcW w:type="dxa" w:w="3360"/>
          </w:tcPr>
          <w:p>
            <w:pPr>
              <w:spacing w:after="0"/>
            </w:pPr>
            <w:r>
              <w:rPr>
                <w:sz w:val="14"/>
              </w:rPr>
              <w:t>dol.gov resource library</w:t>
            </w:r>
          </w:p>
        </w:tc>
      </w:tr>
      <w:tr>
        <w:tc>
          <w:tcPr>
            <w:tcW w:type="dxa" w:w="3360"/>
          </w:tcPr>
          <w:p>
            <w:pPr>
              <w:spacing w:after="0"/>
            </w:pPr>
            <w:r>
              <w:rPr>
                <w:sz w:val="14"/>
              </w:rPr>
              <w:t>U.S. Department of Labor. Do Employers Earn Positive Returns to Investments in Apprenticeship? AAI employer ROI study.</w:t>
            </w:r>
          </w:p>
        </w:tc>
        <w:tc>
          <w:tcPr>
            <w:tcW w:type="dxa" w:w="3360"/>
          </w:tcPr>
          <w:p>
            <w:pPr>
              <w:spacing w:after="0"/>
            </w:pPr>
            <w:r>
              <w:rPr>
                <w:sz w:val="14"/>
              </w:rPr>
              <w:t>Employer cost/benefit empirical study</w:t>
            </w:r>
          </w:p>
        </w:tc>
        <w:tc>
          <w:tcPr>
            <w:tcW w:type="dxa" w:w="3360"/>
          </w:tcPr>
          <w:p>
            <w:pPr>
              <w:spacing w:after="0"/>
            </w:pPr>
            <w:r>
              <w:rPr>
                <w:sz w:val="14"/>
              </w:rPr>
              <w:t>dol.gov ETA research</w:t>
            </w:r>
          </w:p>
        </w:tc>
      </w:tr>
      <w:tr>
        <w:tc>
          <w:tcPr>
            <w:tcW w:type="dxa" w:w="3360"/>
          </w:tcPr>
          <w:p>
            <w:pPr>
              <w:spacing w:after="0"/>
            </w:pPr>
            <w:r>
              <w:rPr>
                <w:sz w:val="14"/>
              </w:rPr>
              <w:t>Millennium Challenge Corporation. Education and Workforce Development Cost-Benefit Analysis Guidance.</w:t>
            </w:r>
          </w:p>
        </w:tc>
        <w:tc>
          <w:tcPr>
            <w:tcW w:type="dxa" w:w="3360"/>
          </w:tcPr>
          <w:p>
            <w:pPr>
              <w:spacing w:after="0"/>
            </w:pPr>
            <w:r>
              <w:rPr>
                <w:sz w:val="14"/>
              </w:rPr>
              <w:t>Counterfactual, costs/benefits, discounting, sensitivity, distribution</w:t>
            </w:r>
          </w:p>
        </w:tc>
        <w:tc>
          <w:tcPr>
            <w:tcW w:type="dxa" w:w="3360"/>
          </w:tcPr>
          <w:p>
            <w:pPr>
              <w:spacing w:after="0"/>
            </w:pPr>
            <w:r>
              <w:rPr>
                <w:sz w:val="14"/>
              </w:rPr>
              <w:t>mcc.gov</w:t>
            </w:r>
          </w:p>
        </w:tc>
      </w:tr>
      <w:tr>
        <w:tc>
          <w:tcPr>
            <w:tcW w:type="dxa" w:w="3360"/>
          </w:tcPr>
          <w:p>
            <w:pPr>
              <w:spacing w:after="0"/>
            </w:pPr>
            <w:r>
              <w:rPr>
                <w:sz w:val="14"/>
              </w:rPr>
              <w:t>U.S. Department of Labor. Cost-Benefit Analysis for RESEA Programs: A Handbook (2024).</w:t>
            </w:r>
          </w:p>
        </w:tc>
        <w:tc>
          <w:tcPr>
            <w:tcW w:type="dxa" w:w="3360"/>
          </w:tcPr>
          <w:p>
            <w:pPr>
              <w:spacing w:after="0"/>
            </w:pPr>
            <w:r>
              <w:rPr>
                <w:sz w:val="14"/>
              </w:rPr>
              <w:t>Evaluation-based CBA and uncertainty</w:t>
            </w:r>
          </w:p>
        </w:tc>
        <w:tc>
          <w:tcPr>
            <w:tcW w:type="dxa" w:w="3360"/>
          </w:tcPr>
          <w:p>
            <w:pPr>
              <w:spacing w:after="0"/>
            </w:pPr>
            <w:r>
              <w:rPr>
                <w:sz w:val="14"/>
              </w:rPr>
              <w:t>dol.gov</w:t>
            </w:r>
          </w:p>
        </w:tc>
      </w:tr>
      <w:tr>
        <w:tc>
          <w:tcPr>
            <w:tcW w:type="dxa" w:w="3360"/>
          </w:tcPr>
          <w:p>
            <w:pPr>
              <w:spacing w:after="0"/>
            </w:pPr>
            <w:r>
              <w:rPr>
                <w:sz w:val="14"/>
              </w:rPr>
              <w:t>Batt, R. &amp; Colvin, A.J.S. An Employment Systems Approach to Turnover. Academy of Management Journal.</w:t>
            </w:r>
          </w:p>
        </w:tc>
        <w:tc>
          <w:tcPr>
            <w:tcW w:type="dxa" w:w="3360"/>
          </w:tcPr>
          <w:p>
            <w:pPr>
              <w:spacing w:after="0"/>
            </w:pPr>
            <w:r>
              <w:rPr>
                <w:sz w:val="14"/>
              </w:rPr>
              <w:t>Call-center turnover, work systems and customer service</w:t>
            </w:r>
          </w:p>
        </w:tc>
        <w:tc>
          <w:tcPr>
            <w:tcW w:type="dxa" w:w="3360"/>
          </w:tcPr>
          <w:p>
            <w:pPr>
              <w:spacing w:after="0"/>
            </w:pPr>
            <w:r>
              <w:rPr>
                <w:sz w:val="14"/>
              </w:rPr>
              <w:t>DOI 10.5465/amj.2011.64869448</w:t>
            </w:r>
          </w:p>
        </w:tc>
      </w:tr>
      <w:tr>
        <w:tc>
          <w:tcPr>
            <w:tcW w:type="dxa" w:w="3360"/>
          </w:tcPr>
          <w:p>
            <w:pPr>
              <w:spacing w:after="0"/>
            </w:pPr>
            <w:r>
              <w:rPr>
                <w:sz w:val="14"/>
              </w:rPr>
              <w:t>Schueler &amp; Loveder. Understanding the Return on Investment from TVET: A Practical Guide (2020).</w:t>
            </w:r>
          </w:p>
        </w:tc>
        <w:tc>
          <w:tcPr>
            <w:tcW w:type="dxa" w:w="3360"/>
          </w:tcPr>
          <w:p>
            <w:pPr>
              <w:spacing w:after="0"/>
            </w:pPr>
            <w:r>
              <w:rPr>
                <w:sz w:val="14"/>
              </w:rPr>
              <w:t>Multi-stakeholder workforce ROI framework</w:t>
            </w:r>
          </w:p>
        </w:tc>
        <w:tc>
          <w:tcPr>
            <w:tcW w:type="dxa" w:w="3360"/>
          </w:tcPr>
          <w:p>
            <w:pPr>
              <w:spacing w:after="0"/>
            </w:pPr>
            <w:r>
              <w:rPr>
                <w:sz w:val="14"/>
              </w:rPr>
              <w:t>ERIC ED604380</w:t>
            </w:r>
          </w:p>
        </w:tc>
      </w:tr>
      <w:tr>
        <w:tc>
          <w:tcPr>
            <w:tcW w:type="dxa" w:w="3360"/>
          </w:tcPr>
          <w:p>
            <w:pPr>
              <w:spacing w:after="0"/>
            </w:pPr>
            <w:r>
              <w:rPr>
                <w:sz w:val="14"/>
              </w:rPr>
              <w:t>Longitudinal study of turnover and cost of turnover in EMS.</w:t>
            </w:r>
          </w:p>
        </w:tc>
        <w:tc>
          <w:tcPr>
            <w:tcW w:type="dxa" w:w="3360"/>
          </w:tcPr>
          <w:p>
            <w:pPr>
              <w:spacing w:after="0"/>
            </w:pPr>
            <w:r>
              <w:rPr>
                <w:sz w:val="14"/>
              </w:rPr>
              <w:t>Component-based turnover cost methodology</w:t>
            </w:r>
          </w:p>
        </w:tc>
        <w:tc>
          <w:tcPr>
            <w:tcW w:type="dxa" w:w="3360"/>
          </w:tcPr>
          <w:p>
            <w:pPr>
              <w:spacing w:after="0"/>
            </w:pPr>
            <w:r>
              <w:rPr>
                <w:sz w:val="14"/>
              </w:rPr>
              <w:t>PMC2883888</w:t>
            </w:r>
          </w:p>
        </w:tc>
      </w:tr>
      <w:tr>
        <w:tc>
          <w:tcPr>
            <w:tcW w:type="dxa" w:w="3360"/>
          </w:tcPr>
          <w:p>
            <w:pPr>
              <w:spacing w:after="0"/>
            </w:pPr>
            <w:r>
              <w:rPr>
                <w:sz w:val="14"/>
              </w:rPr>
              <w:t>National Academies. Building America's Skilled Technical Workforce — ROI calculus.</w:t>
            </w:r>
          </w:p>
        </w:tc>
        <w:tc>
          <w:tcPr>
            <w:tcW w:type="dxa" w:w="3360"/>
          </w:tcPr>
          <w:p>
            <w:pPr>
              <w:spacing w:after="0"/>
            </w:pPr>
            <w:r>
              <w:rPr>
                <w:sz w:val="14"/>
              </w:rPr>
              <w:t>Individual/employer/public return framing</w:t>
            </w:r>
          </w:p>
        </w:tc>
        <w:tc>
          <w:tcPr>
            <w:tcW w:type="dxa" w:w="3360"/>
          </w:tcPr>
          <w:p>
            <w:pPr>
              <w:spacing w:after="0"/>
            </w:pPr>
            <w:r>
              <w:rPr>
                <w:sz w:val="14"/>
              </w:rPr>
              <w:t>nationalacademies.org</w:t>
            </w:r>
          </w:p>
        </w:tc>
      </w:tr>
      <w:tr>
        <w:tc>
          <w:tcPr>
            <w:tcW w:type="dxa" w:w="3360"/>
          </w:tcPr>
          <w:p>
            <w:pPr>
              <w:spacing w:after="0"/>
            </w:pPr>
            <w:r>
              <w:rPr>
                <w:sz w:val="14"/>
              </w:rPr>
              <w:t>Study #006 evidence base</w:t>
            </w:r>
          </w:p>
        </w:tc>
        <w:tc>
          <w:tcPr>
            <w:tcW w:type="dxa" w:w="3360"/>
          </w:tcPr>
          <w:p>
            <w:pPr>
              <w:spacing w:after="0"/>
            </w:pPr>
            <w:r>
              <w:rPr>
                <w:sz w:val="14"/>
              </w:rPr>
              <w:t>Career pathway/credential economic outcomes</w:t>
            </w:r>
          </w:p>
        </w:tc>
        <w:tc>
          <w:tcPr>
            <w:tcW w:type="dxa" w:w="3360"/>
          </w:tcPr>
          <w:p>
            <w:pPr>
              <w:spacing w:after="0"/>
            </w:pPr>
            <w:r>
              <w:rPr>
                <w:sz w:val="14"/>
              </w:rPr>
              <w:t>ResolveCX Master Evidence Registry</w:t>
            </w:r>
          </w:p>
        </w:tc>
      </w:tr>
      <w:tr>
        <w:tc>
          <w:tcPr>
            <w:tcW w:type="dxa" w:w="3360"/>
          </w:tcPr>
          <w:p>
            <w:pPr>
              <w:spacing w:after="0"/>
            </w:pPr>
            <w:r>
              <w:rPr>
                <w:sz w:val="14"/>
              </w:rPr>
              <w:t>Study #007 evidence base</w:t>
            </w:r>
          </w:p>
        </w:tc>
        <w:tc>
          <w:tcPr>
            <w:tcW w:type="dxa" w:w="3360"/>
          </w:tcPr>
          <w:p>
            <w:pPr>
              <w:spacing w:after="0"/>
            </w:pPr>
            <w:r>
              <w:rPr>
                <w:sz w:val="14"/>
              </w:rPr>
              <w:t>AI capacity/productivity and implementation economics</w:t>
            </w:r>
          </w:p>
        </w:tc>
        <w:tc>
          <w:tcPr>
            <w:tcW w:type="dxa" w:w="3360"/>
          </w:tcPr>
          <w:p>
            <w:pPr>
              <w:spacing w:after="0"/>
            </w:pPr>
            <w:r>
              <w:rPr>
                <w:sz w:val="14"/>
              </w:rPr>
              <w:t>ResolveCX Master Evidence Registry</w:t>
            </w:r>
          </w:p>
        </w:tc>
      </w:tr>
    </w:tbl>
    <w:p>
      <w:pPr>
        <w:pStyle w:val="Heading1"/>
      </w:pPr>
      <w:r>
        <w:t>30. Evidence Registry Development Target</w:t>
      </w:r>
    </w:p>
    <w:p>
      <w:r>
        <w:t>Before confirmatory ResolveCX economic claims, expand and deduplicate the Master Evidence Registry with high-quality cost-benefit methodology, contact-center turnover/productivity economics, training/proficiency cost studies, workforce-development ROI, employer willingness-to-pay/value-capture evidence, and contradictory/null economic findings. A practical milestone is 25+ high-relevance unique sources, but sufficiency, validity, independence, applicability and decision usefulness—not source count—govern the research.</w:t>
      </w:r>
    </w:p>
    <w:p>
      <w:pPr>
        <w:pStyle w:val="Heading1"/>
      </w:pPr>
      <w:r>
        <w:t>31. Decision Record Before New Economic Data Collection</w:t>
      </w:r>
    </w:p>
    <w:tbl>
      <w:tblPr>
        <w:tblStyle w:val="TableGrid"/>
        <w:tblW w:type="auto" w:w="0"/>
        <w:jc w:val="center"/>
        <w:tblLook w:firstColumn="1" w:firstRow="1" w:lastColumn="0" w:lastRow="0" w:noHBand="0" w:noVBand="1" w:val="04A0"/>
      </w:tblPr>
      <w:tblGrid>
        <w:gridCol w:w="5040"/>
        <w:gridCol w:w="5040"/>
      </w:tblGrid>
      <w:tr>
        <w:tc>
          <w:tcPr>
            <w:tcW w:type="dxa" w:w="5040"/>
            <w:shd w:fill="0B3A53"/>
          </w:tcPr>
          <w:p>
            <w:r>
              <w:rPr>
                <w:b/>
                <w:color w:val="FFFFFF"/>
                <w:sz w:val="15"/>
              </w:rPr>
              <w:t>Field</w:t>
            </w:r>
          </w:p>
        </w:tc>
        <w:tc>
          <w:tcPr>
            <w:tcW w:type="dxa" w:w="5040"/>
            <w:shd w:fill="0B3A53"/>
          </w:tcPr>
          <w:p>
            <w:r>
              <w:rPr>
                <w:b/>
                <w:color w:val="FFFFFF"/>
                <w:sz w:val="15"/>
              </w:rPr>
              <w:t>Required decision</w:t>
            </w:r>
          </w:p>
        </w:tc>
      </w:tr>
      <w:tr>
        <w:tc>
          <w:tcPr>
            <w:tcW w:type="dxa" w:w="5040"/>
          </w:tcPr>
          <w:p>
            <w:pPr>
              <w:spacing w:after="0"/>
            </w:pPr>
            <w:r>
              <w:rPr>
                <w:sz w:val="15"/>
              </w:rPr>
              <w:t>Economic question</w:t>
            </w:r>
          </w:p>
        </w:tc>
        <w:tc>
          <w:tcPr>
            <w:tcW w:type="dxa" w:w="5040"/>
          </w:tcPr>
          <w:p>
            <w:pPr>
              <w:spacing w:after="0"/>
            </w:pPr>
            <w:r>
              <w:rPr>
                <w:sz w:val="15"/>
              </w:rPr>
              <w:t>What exact cost, benefit, unit value or attribution remains unknown?</w:t>
            </w:r>
          </w:p>
        </w:tc>
      </w:tr>
      <w:tr>
        <w:tc>
          <w:tcPr>
            <w:tcW w:type="dxa" w:w="5040"/>
          </w:tcPr>
          <w:p>
            <w:pPr>
              <w:spacing w:after="0"/>
            </w:pPr>
            <w:r>
              <w:rPr>
                <w:sz w:val="15"/>
              </w:rPr>
              <w:t>Existing evidence/data</w:t>
            </w:r>
          </w:p>
        </w:tc>
        <w:tc>
          <w:tcPr>
            <w:tcW w:type="dxa" w:w="5040"/>
          </w:tcPr>
          <w:p>
            <w:pPr>
              <w:spacing w:after="0"/>
            </w:pPr>
            <w:r>
              <w:rPr>
                <w:sz w:val="15"/>
              </w:rPr>
              <w:t>Which finance, HRIS, WFM, training, operational or public data already address it?</w:t>
            </w:r>
          </w:p>
        </w:tc>
      </w:tr>
      <w:tr>
        <w:tc>
          <w:tcPr>
            <w:tcW w:type="dxa" w:w="5040"/>
          </w:tcPr>
          <w:p>
            <w:pPr>
              <w:spacing w:after="0"/>
            </w:pPr>
            <w:r>
              <w:rPr>
                <w:sz w:val="15"/>
              </w:rPr>
              <w:t>Why insufficient</w:t>
            </w:r>
          </w:p>
        </w:tc>
        <w:tc>
          <w:tcPr>
            <w:tcW w:type="dxa" w:w="5040"/>
          </w:tcPr>
          <w:p>
            <w:pPr>
              <w:spacing w:after="0"/>
            </w:pPr>
            <w:r>
              <w:rPr>
                <w:sz w:val="15"/>
              </w:rPr>
              <w:t>What prevents a decision?</w:t>
            </w:r>
          </w:p>
        </w:tc>
      </w:tr>
      <w:tr>
        <w:tc>
          <w:tcPr>
            <w:tcW w:type="dxa" w:w="5040"/>
          </w:tcPr>
          <w:p>
            <w:pPr>
              <w:spacing w:after="0"/>
            </w:pPr>
            <w:r>
              <w:rPr>
                <w:sz w:val="15"/>
              </w:rPr>
              <w:t>Best next evidence</w:t>
            </w:r>
          </w:p>
        </w:tc>
        <w:tc>
          <w:tcPr>
            <w:tcW w:type="dxa" w:w="5040"/>
          </w:tcPr>
          <w:p>
            <w:pPr>
              <w:spacing w:after="0"/>
            </w:pPr>
            <w:r>
              <w:rPr>
                <w:sz w:val="15"/>
              </w:rPr>
              <w:t>Administrative extract, cost ledger, finance validation, targeted interview, participant data, comparative study—or none.</w:t>
            </w:r>
          </w:p>
        </w:tc>
      </w:tr>
      <w:tr>
        <w:tc>
          <w:tcPr>
            <w:tcW w:type="dxa" w:w="5040"/>
          </w:tcPr>
          <w:p>
            <w:pPr>
              <w:spacing w:after="0"/>
            </w:pPr>
            <w:r>
              <w:rPr>
                <w:sz w:val="15"/>
              </w:rPr>
              <w:t>Decision value</w:t>
            </w:r>
          </w:p>
        </w:tc>
        <w:tc>
          <w:tcPr>
            <w:tcW w:type="dxa" w:w="5040"/>
          </w:tcPr>
          <w:p>
            <w:pPr>
              <w:spacing w:after="0"/>
            </w:pPr>
            <w:r>
              <w:rPr>
                <w:sz w:val="15"/>
              </w:rPr>
              <w:t>Which pricing, pilot, design, buyer or scale decision changes?</w:t>
            </w:r>
          </w:p>
        </w:tc>
      </w:tr>
      <w:tr>
        <w:tc>
          <w:tcPr>
            <w:tcW w:type="dxa" w:w="5040"/>
          </w:tcPr>
          <w:p>
            <w:pPr>
              <w:spacing w:after="0"/>
            </w:pPr>
            <w:r>
              <w:rPr>
                <w:sz w:val="15"/>
              </w:rPr>
              <w:t>Stop rule</w:t>
            </w:r>
          </w:p>
        </w:tc>
        <w:tc>
          <w:tcPr>
            <w:tcW w:type="dxa" w:w="5040"/>
          </w:tcPr>
          <w:p>
            <w:pPr>
              <w:spacing w:after="0"/>
            </w:pPr>
            <w:r>
              <w:rPr>
                <w:sz w:val="15"/>
              </w:rPr>
              <w:t>What evidence makes additional collection unnecessary?</w:t>
            </w:r>
          </w:p>
        </w:tc>
      </w:tr>
    </w:tbl>
    <w:p>
      <w:pPr>
        <w:pStyle w:val="Heading1"/>
      </w:pPr>
      <w:r>
        <w:t>32. Immediate Implementation Sequence</w:t>
      </w:r>
    </w:p>
    <w:p>
      <w:pPr>
        <w:pStyle w:val="ListNumber"/>
        <w:spacing w:after="20"/>
      </w:pPr>
      <w:r>
        <w:t>Add Study #008 hypotheses and unique sources to the ResolveCX Master Evidence Registry; deduplicate across Studies #001–#007.</w:t>
      </w:r>
    </w:p>
    <w:p>
      <w:pPr>
        <w:pStyle w:val="ListNumber"/>
        <w:spacing w:after="20"/>
      </w:pPr>
      <w:r>
        <w:t>Create a portfolio Outcome-to-Economic-Value Map linking every proposed #008 benefit to the study that must validate the underlying effect.</w:t>
      </w:r>
    </w:p>
    <w:p>
      <w:pPr>
        <w:pStyle w:val="ListNumber"/>
        <w:spacing w:after="20"/>
      </w:pPr>
      <w:r>
        <w:t>Build a standard Employer Cost Map and Turnover Cost Calculator using employer-specific components rather than generic percentages.</w:t>
      </w:r>
    </w:p>
    <w:p>
      <w:pPr>
        <w:pStyle w:val="ListNumber"/>
        <w:spacing w:after="20"/>
      </w:pPr>
      <w:r>
        <w:t>Build a Time-to-Proficiency economic model using quality-adjusted learning curves.</w:t>
      </w:r>
    </w:p>
    <w:p>
      <w:pPr>
        <w:pStyle w:val="ListNumber"/>
        <w:spacing w:after="20"/>
      </w:pPr>
      <w:r>
        <w:t>Create a ResolveCX Intervention Cost Ledger that captures design, delivery, participant, employer, technology, governance and evaluation costs.</w:t>
      </w:r>
    </w:p>
    <w:p>
      <w:pPr>
        <w:pStyle w:val="ListNumber"/>
        <w:spacing w:after="20"/>
      </w:pPr>
      <w:r>
        <w:t>Create a Break-Even Model before any pilot ROI claim: avoided exits, proficiency days, quality improvement, capacity release, or other effects required to cover cost.</w:t>
      </w:r>
    </w:p>
    <w:p>
      <w:pPr>
        <w:pStyle w:val="ListNumber"/>
        <w:spacing w:after="20"/>
      </w:pPr>
      <w:r>
        <w:t>Define stakeholder perspectives prospectively for every economic analysis.</w:t>
      </w:r>
    </w:p>
    <w:p>
      <w:pPr>
        <w:pStyle w:val="ListNumber"/>
        <w:spacing w:after="20"/>
      </w:pPr>
      <w:r>
        <w:t>Require finance/operations validation of material employer unit-cost assumptions where feasible.</w:t>
      </w:r>
    </w:p>
    <w:p>
      <w:pPr>
        <w:pStyle w:val="ListNumber"/>
        <w:spacing w:after="20"/>
      </w:pPr>
      <w:r>
        <w:t>Only calculate realized ROI after a credible intervention-effect estimate exists; otherwise publish scenario/break-even analysis.</w:t>
      </w:r>
    </w:p>
    <w:p>
      <w:pPr>
        <w:pStyle w:val="ListNumber"/>
        <w:spacing w:after="20"/>
      </w:pPr>
      <w:r>
        <w:t>Test paid-pilot, renewal and expansion behavior as evidence of the economic buyer and commercial viability.</w:t>
      </w:r>
    </w:p>
    <w:p>
      <w:pPr>
        <w:pStyle w:val="ListNumber"/>
        <w:spacing w:after="20"/>
      </w:pPr>
      <w:r>
        <w:t>Replicate economics across employers/settings before making broad industry claims.</w:t>
      </w:r>
    </w:p>
    <w:p>
      <w:pPr>
        <w:pStyle w:val="Heading1"/>
      </w:pPr>
      <w:r>
        <w:t>33. Final Economic-Rigor Amendment — v1.1</w:t>
      </w:r>
    </w:p>
    <w:p>
      <w:r>
        <w:t>This amendment strengthens Study #008 in five areas identified during final methodological review: benefit persistence, marginal value, finance validation, economic-evidence classification, and the distinction between released capacity and realized financial value. These requirements supersede any earlier interpretation that would permit temporary effects, unvalidated unit costs, or theoretical time savings to be presented as realized ROI.</w:t>
      </w:r>
    </w:p>
    <w:p>
      <w:pPr>
        <w:pStyle w:val="Heading2"/>
      </w:pPr>
      <w:r>
        <w:t>H15 — Benefit Persistence</w:t>
      </w:r>
    </w:p>
    <w:p>
      <w:r>
        <w:t>Economic value from readiness interventions will vary over time as skills strengthen or decay, employees move, operating conditions change, and employers modify processes. Benefit duration and decay must therefore be observed or conservatively modeled rather than assumed. Where decision-relevant, follow-up should examine appropriate intervals such as 90 days, 6 months, 12 months, and longer periods when the intervention logic supports them.</w:t>
      </w:r>
    </w:p>
    <w:p>
      <w:pPr>
        <w:pStyle w:val="Heading2"/>
      </w:pPr>
      <w:r>
        <w:t>H16 — Diminishing or Changing Marginal Returns</w:t>
      </w:r>
    </w:p>
    <w:p>
      <w:r>
        <w:t>The incremental economic value of additional ResolveCX participation may change with scale as higher-need populations are exhausted, employer capacity constraints emerge, pathway opportunities saturate, delivery quality changes, or fixed costs are spread across more participants. Scale economies and marginal returns must be estimated separately rather than inferred from average pilot economics.</w:t>
      </w:r>
    </w:p>
    <w:p>
      <w:pPr>
        <w:pStyle w:val="Heading2"/>
      </w:pPr>
      <w:r>
        <w:t>Finance Validation Standard</w:t>
      </w:r>
    </w:p>
    <w:p>
      <w:r>
        <w:t>Before an employer-facing realized-ROI case study is released, material unit-cost and value assumptions should be reviewed, where feasible, by the accountable employer function. Recruiting assumptions should be validated by Talent Acquisition/HR and Finance; training by L&amp;D and Finance; productivity/capacity by Operations/WFM and Finance; turnover by HR and Finance; and customer/revenue effects by the accountable CX/commercial and finance functions. Unvalidated assumptions must remain clearly labeled as modeled.</w:t>
      </w:r>
    </w:p>
    <w:p>
      <w:pPr>
        <w:pStyle w:val="Heading2"/>
      </w:pPr>
      <w:r>
        <w:t>Economic Evidence Classification</w:t>
      </w:r>
    </w:p>
    <w:p>
      <w:r>
        <w:t>Every material dollar value in a ResolveCX economic analysis must be classified by evidentiary status so that modeled potential is not presented as realized value.</w:t>
      </w:r>
    </w:p>
    <w:tbl>
      <w:tblPr>
        <w:tblStyle w:val="TableGrid"/>
        <w:tblW w:type="auto" w:w="0"/>
        <w:tblLook w:firstColumn="1" w:firstRow="1" w:lastColumn="0" w:lastRow="0" w:noHBand="0" w:noVBand="1" w:val="04A0"/>
      </w:tblPr>
      <w:tblGrid>
        <w:gridCol w:w="5040"/>
        <w:gridCol w:w="5040"/>
      </w:tblGrid>
      <w:tr>
        <w:tc>
          <w:tcPr>
            <w:tcW w:type="dxa" w:w="5040"/>
          </w:tcPr>
          <w:p>
            <w:r>
              <w:t>Classification</w:t>
            </w:r>
          </w:p>
        </w:tc>
        <w:tc>
          <w:tcPr>
            <w:tcW w:type="dxa" w:w="5040"/>
          </w:tcPr>
          <w:p>
            <w:r>
              <w:t>Meaning</w:t>
            </w:r>
          </w:p>
        </w:tc>
      </w:tr>
      <w:tr>
        <w:tc>
          <w:tcPr>
            <w:tcW w:type="dxa" w:w="5040"/>
          </w:tcPr>
          <w:p>
            <w:r>
              <w:t>Observed</w:t>
            </w:r>
          </w:p>
        </w:tc>
        <w:tc>
          <w:tcPr>
            <w:tcW w:type="dxa" w:w="5040"/>
          </w:tcPr>
          <w:p>
            <w:r>
              <w:t>Directly measured in the evaluated employer/intervention.</w:t>
            </w:r>
          </w:p>
        </w:tc>
      </w:tr>
      <w:tr>
        <w:tc>
          <w:tcPr>
            <w:tcW w:type="dxa" w:w="5040"/>
          </w:tcPr>
          <w:p>
            <w:r>
              <w:t>Employer-validated</w:t>
            </w:r>
          </w:p>
        </w:tc>
        <w:tc>
          <w:tcPr>
            <w:tcW w:type="dxa" w:w="5040"/>
          </w:tcPr>
          <w:p>
            <w:r>
              <w:t>Derived from employer records or unit-cost assumptions reviewed by accountable business functions.</w:t>
            </w:r>
          </w:p>
        </w:tc>
      </w:tr>
      <w:tr>
        <w:tc>
          <w:tcPr>
            <w:tcW w:type="dxa" w:w="5040"/>
          </w:tcPr>
          <w:p>
            <w:r>
              <w:t>Research-derived</w:t>
            </w:r>
          </w:p>
        </w:tc>
        <w:tc>
          <w:tcPr>
            <w:tcW w:type="dxa" w:w="5040"/>
          </w:tcPr>
          <w:p>
            <w:r>
              <w:t>Estimated from credible external evidence and explicitly transferred to the current context with limitations.</w:t>
            </w:r>
          </w:p>
        </w:tc>
      </w:tr>
      <w:tr>
        <w:tc>
          <w:tcPr>
            <w:tcW w:type="dxa" w:w="5040"/>
          </w:tcPr>
          <w:p>
            <w:r>
              <w:t>Modeled</w:t>
            </w:r>
          </w:p>
        </w:tc>
        <w:tc>
          <w:tcPr>
            <w:tcW w:type="dxa" w:w="5040"/>
          </w:tcPr>
          <w:p>
            <w:r>
              <w:t>Scenario, forecast, or assumption not yet realized/validated in the evaluated setting.</w:t>
            </w:r>
          </w:p>
        </w:tc>
      </w:tr>
    </w:tbl>
    <w:p>
      <w:pPr>
        <w:pStyle w:val="Heading2"/>
      </w:pPr>
      <w:r>
        <w:t>No Phantom Savings Rule</w:t>
      </w:r>
    </w:p>
    <w:p>
      <w:r>
        <w:t>Released capacity is not automatically realized financial savings. Time released by training, process improvement, or AI may be monetized only when the analysis demonstrates how that capacity was captured through avoided cost, incremental productive output, higher-value activity, improved service, reduced delay, or another defensible economic consequence. If labor expense does not decline and released time is not demonstrably redeployed to valued output, the result should be reported as released capacity rather than booked savings.</w:t>
      </w:r>
    </w:p>
    <w:p>
      <w:pPr>
        <w:pStyle w:val="Heading2"/>
      </w:pPr>
      <w:r>
        <w:t>Additional Falsification Conditions</w:t>
      </w:r>
    </w:p>
    <w:p>
      <w:pPr>
        <w:pStyle w:val="ListBullet"/>
      </w:pPr>
      <w:r>
        <w:t>F19 — A positive economic conclusion depends on assuming that a short-lived effect persists or can be annualized without longitudinal support.</w:t>
      </w:r>
    </w:p>
    <w:p>
      <w:pPr>
        <w:pStyle w:val="ListBullet"/>
      </w:pPr>
      <w:r>
        <w:t>F20 — Marginal participant value declines at scale enough to eliminate the economic case despite positive average pilot ROI.</w:t>
      </w:r>
    </w:p>
    <w:p>
      <w:pPr>
        <w:pStyle w:val="ListBullet"/>
      </w:pPr>
      <w:r>
        <w:t>F21 — Material unit-cost or value assumptions cannot be validated by accountable employer functions and the conclusion is not robust when those assumptions vary.</w:t>
      </w:r>
    </w:p>
    <w:p>
      <w:pPr>
        <w:pStyle w:val="ListBullet"/>
      </w:pPr>
      <w:r>
        <w:t>F22 — The majority of claimed savings consist of released capacity that is neither captured as avoided cost nor demonstrably redeployed to economically valuable output.</w:t>
      </w:r>
    </w:p>
    <w:p>
      <w:pPr>
        <w:pStyle w:val="Heading2"/>
      </w:pPr>
      <w:r>
        <w:t>Analysis and Release Additions</w:t>
      </w:r>
    </w:p>
    <w:p>
      <w:pPr>
        <w:pStyle w:val="ListBullet"/>
      </w:pPr>
      <w:r>
        <w:t>Model benefit persistence/decay explicitly when benefits extend beyond the observed evaluation window.</w:t>
      </w:r>
    </w:p>
    <w:p>
      <w:pPr>
        <w:pStyle w:val="ListBullet"/>
      </w:pPr>
      <w:r>
        <w:t>Report average and marginal economics separately when scale is a decision question.</w:t>
      </w:r>
    </w:p>
    <w:p>
      <w:pPr>
        <w:pStyle w:val="ListBullet"/>
      </w:pPr>
      <w:r>
        <w:t>Include the economic-evidence classification beside material value streams in employer-facing analyses.</w:t>
      </w:r>
    </w:p>
    <w:p>
      <w:pPr>
        <w:pStyle w:val="ListBullet"/>
      </w:pPr>
      <w:r>
        <w:t>Separate realized financial value, employer-validated value, research-derived estimates, modeled potential, and nonmonetized outcomes.</w:t>
      </w:r>
    </w:p>
    <w:p>
      <w:pPr>
        <w:pStyle w:val="ListBullet"/>
      </w:pPr>
      <w:r>
        <w:t>Require finance/business-function review of material assumptions where feasible before publication of realized employer ROI.</w:t>
      </w:r>
    </w:p>
    <w:p>
      <w:pPr>
        <w:pStyle w:val="ListBullet"/>
      </w:pPr>
      <w:r>
        <w:t>Never convert released hours directly into savings without evidence of economic capture.</w:t>
      </w:r>
    </w:p>
    <w:p>
      <w:pPr>
        <w:pStyle w:val="Heading1"/>
      </w:pPr>
      <w:r>
        <w:t>34. Protocol Decision</w:t>
      </w:r>
    </w:p>
    <w:p>
      <w:r>
        <w:t>Study #008 v1.1 is approved for introduction as Ongoing Research and is ready to freeze. It completes the original eight-study ResolveCX architecture by requiring evidence not only that readiness matters, but that its effects are incremental, durable, economically material, transparently classified, finance-validatable, appropriately distributed, and capturable by a stakeholder capable of sustaining the model. The study remains explicitly capable of concluding that ResolveCX creates strong value, conditional value, value for some stakeholders but not others, or insufficient value to support the proposed business model.</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Research Protocol v1.1  •  Ongoing Research  •  Evidence-First Design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1"/>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