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678E"/>
          <w:sz w:val="24"/>
        </w:rPr>
        <w:t>ResolveCX Research Series</w:t>
      </w:r>
    </w:p>
    <w:p>
      <w:pPr>
        <w:pStyle w:val="Title"/>
        <w:jc w:val="center"/>
      </w:pPr>
      <w:r>
        <w:t>Study #009: The Selection &amp; Readiness Study</w:t>
      </w:r>
    </w:p>
    <w:p>
      <w:pPr>
        <w:jc w:val="center"/>
      </w:pPr>
      <w:r>
        <w:rPr>
          <w:i/>
          <w:sz w:val="26"/>
        </w:rPr>
        <w:t>Can we identify job-relevant readiness before hire—fairly, validly, and better than conventional screening?</w:t>
      </w:r>
    </w:p>
    <w:p>
      <w:pPr>
        <w:jc w:val="center"/>
      </w:pPr>
      <w:r>
        <w:rPr>
          <w:b/>
          <w:color w:val="B77311"/>
        </w:rPr>
        <w:t>Research Status: Ongoing</w:t>
      </w:r>
    </w:p>
    <w:p>
      <w:r>
        <w:t>Study #009 examines the pre-employment decision point. It asks whether contact-center success can be predicted using job-relevant, fairly assessable capabilities and realistic work evidence—and whether any ResolveCX assessment adds incremental value beyond conventional hiring practices. The study does not assume that a proprietary readiness score should exist or that selection is the primary solution to frontline workforce problems.</w:t>
      </w:r>
    </w:p>
    <w:p>
      <w:pPr>
        <w:pStyle w:val="Heading1"/>
      </w:pPr>
      <w:r>
        <w:t>1. Research Integrity Statement</w:t>
      </w:r>
    </w:p>
    <w:p>
      <w:r>
        <w:t>ResolveCX will not design an assessment to confirm preferred candidate traits. Candidate measures must be grounded in job analysis, tied to defined criteria, evaluated for reliability and validity, monitored for subgroup differences and adverse impact, and compared with less burdensome or less exclusionary alternatives. A measure that predicts poorly, adds no incremental value, creates unacceptable inequity, or merely reproduces employer bias should be revised or rejected.</w:t>
      </w:r>
    </w:p>
    <w:p>
      <w:pPr>
        <w:pStyle w:val="Heading1"/>
      </w:pPr>
      <w:r>
        <w:t>2. Central Research Question</w:t>
      </w:r>
    </w:p>
    <w:p>
      <w:r>
        <w:rPr>
          <w:b/>
        </w:rPr>
        <w:t>Among applicants and prospective entrants to frontline contact-center work, which job-relevant and fairly assessable pre-employment capabilities predict training success, production transition, quality-adjusted performance, adaptability, sustainability and retention—and do those measures add meaningful predictive and decision value beyond conventional hiring information?</w:t>
      </w:r>
    </w:p>
    <w:p>
      <w:r>
        <w:t>Secondary questions address whether realistic job information improves self-selection; whether prior contact-center experience is overvalued; whether structured work samples and interviews outperform informal judgment; whether prediction differs by role/context; and whether equally effective alternatives can reduce adverse impact.</w:t>
      </w:r>
    </w:p>
    <w:p>
      <w:pPr>
        <w:pStyle w:val="Heading1"/>
      </w:pPr>
      <w:r>
        <w:t>3. Relationship to the Research Portfolio</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Study</w:t>
            </w:r>
          </w:p>
        </w:tc>
        <w:tc>
          <w:tcPr>
            <w:tcW w:type="dxa" w:w="5083"/>
            <w:shd w:fill="0B3A53"/>
          </w:tcPr>
          <w:p>
            <w:r>
              <w:rPr>
                <w:b/>
                <w:color w:val="FFFFFF"/>
                <w:sz w:val="15"/>
              </w:rPr>
              <w:t>Dependency / distinction</w:t>
            </w:r>
          </w:p>
        </w:tc>
      </w:tr>
      <w:tr>
        <w:tc>
          <w:tcPr>
            <w:tcW w:type="dxa" w:w="5083"/>
          </w:tcPr>
          <w:p>
            <w:pPr>
              <w:spacing w:after="0"/>
            </w:pPr>
            <w:r>
              <w:rPr>
                <w:sz w:val="15"/>
              </w:rPr>
              <w:t>#001 New-Hire Survival</w:t>
            </w:r>
          </w:p>
        </w:tc>
        <w:tc>
          <w:tcPr>
            <w:tcW w:type="dxa" w:w="5083"/>
          </w:tcPr>
          <w:p>
            <w:pPr>
              <w:spacing w:after="0"/>
            </w:pPr>
            <w:r>
              <w:rPr>
                <w:sz w:val="15"/>
              </w:rPr>
              <w:t>Provides downstream criteria: completion, transition, proficiency, survival.</w:t>
            </w:r>
          </w:p>
        </w:tc>
      </w:tr>
      <w:tr>
        <w:tc>
          <w:tcPr>
            <w:tcW w:type="dxa" w:w="5083"/>
          </w:tcPr>
          <w:p>
            <w:pPr>
              <w:spacing w:after="0"/>
            </w:pPr>
            <w:r>
              <w:rPr>
                <w:sz w:val="15"/>
              </w:rPr>
              <w:t>#002 Job Reality Gap</w:t>
            </w:r>
          </w:p>
        </w:tc>
        <w:tc>
          <w:tcPr>
            <w:tcW w:type="dxa" w:w="5083"/>
          </w:tcPr>
          <w:p>
            <w:pPr>
              <w:spacing w:after="0"/>
            </w:pPr>
            <w:r>
              <w:rPr>
                <w:sz w:val="15"/>
              </w:rPr>
              <w:t>Provides expectation-accuracy and realistic-job-information mechanisms.</w:t>
            </w:r>
          </w:p>
        </w:tc>
      </w:tr>
      <w:tr>
        <w:tc>
          <w:tcPr>
            <w:tcW w:type="dxa" w:w="5083"/>
          </w:tcPr>
          <w:p>
            <w:pPr>
              <w:spacing w:after="0"/>
            </w:pPr>
            <w:r>
              <w:rPr>
                <w:sz w:val="15"/>
              </w:rPr>
              <w:t>#003 KPI &amp; Business Literacy</w:t>
            </w:r>
          </w:p>
        </w:tc>
        <w:tc>
          <w:tcPr>
            <w:tcW w:type="dxa" w:w="5083"/>
          </w:tcPr>
          <w:p>
            <w:pPr>
              <w:spacing w:after="0"/>
            </w:pPr>
            <w:r>
              <w:rPr>
                <w:sz w:val="15"/>
              </w:rPr>
              <w:t>Potential capability domain; must not be assumed pre-hire requirement without validation.</w:t>
            </w:r>
          </w:p>
        </w:tc>
      </w:tr>
      <w:tr>
        <w:tc>
          <w:tcPr>
            <w:tcW w:type="dxa" w:w="5083"/>
          </w:tcPr>
          <w:p>
            <w:pPr>
              <w:spacing w:after="0"/>
            </w:pPr>
            <w:r>
              <w:rPr>
                <w:sz w:val="15"/>
              </w:rPr>
              <w:t>#004 Supervisor Effect</w:t>
            </w:r>
          </w:p>
        </w:tc>
        <w:tc>
          <w:tcPr>
            <w:tcW w:type="dxa" w:w="5083"/>
          </w:tcPr>
          <w:p>
            <w:pPr>
              <w:spacing w:after="0"/>
            </w:pPr>
            <w:r>
              <w:rPr>
                <w:sz w:val="15"/>
              </w:rPr>
              <w:t>Separates candidate characteristics from leader/context effects.</w:t>
            </w:r>
          </w:p>
        </w:tc>
      </w:tr>
      <w:tr>
        <w:tc>
          <w:tcPr>
            <w:tcW w:type="dxa" w:w="5083"/>
          </w:tcPr>
          <w:p>
            <w:pPr>
              <w:spacing w:after="0"/>
            </w:pPr>
            <w:r>
              <w:rPr>
                <w:sz w:val="15"/>
              </w:rPr>
              <w:t>#005 Change Readiness</w:t>
            </w:r>
          </w:p>
        </w:tc>
        <w:tc>
          <w:tcPr>
            <w:tcW w:type="dxa" w:w="5083"/>
          </w:tcPr>
          <w:p>
            <w:pPr>
              <w:spacing w:after="0"/>
            </w:pPr>
            <w:r>
              <w:rPr>
                <w:sz w:val="15"/>
              </w:rPr>
              <w:t>Provides adaptation outcomes and contextual moderators.</w:t>
            </w:r>
          </w:p>
        </w:tc>
      </w:tr>
      <w:tr>
        <w:tc>
          <w:tcPr>
            <w:tcW w:type="dxa" w:w="5083"/>
          </w:tcPr>
          <w:p>
            <w:pPr>
              <w:spacing w:after="0"/>
            </w:pPr>
            <w:r>
              <w:rPr>
                <w:sz w:val="15"/>
              </w:rPr>
              <w:t>#006 Career Pathway</w:t>
            </w:r>
          </w:p>
        </w:tc>
        <w:tc>
          <w:tcPr>
            <w:tcW w:type="dxa" w:w="5083"/>
          </w:tcPr>
          <w:p>
            <w:pPr>
              <w:spacing w:after="0"/>
            </w:pPr>
            <w:r>
              <w:rPr>
                <w:sz w:val="15"/>
              </w:rPr>
              <w:t>Tests whether selection expands or restricts equitable pathway access.</w:t>
            </w:r>
          </w:p>
        </w:tc>
      </w:tr>
      <w:tr>
        <w:tc>
          <w:tcPr>
            <w:tcW w:type="dxa" w:w="5083"/>
          </w:tcPr>
          <w:p>
            <w:pPr>
              <w:spacing w:after="0"/>
            </w:pPr>
            <w:r>
              <w:rPr>
                <w:sz w:val="15"/>
              </w:rPr>
              <w:t>#008 Economics</w:t>
            </w:r>
          </w:p>
        </w:tc>
        <w:tc>
          <w:tcPr>
            <w:tcW w:type="dxa" w:w="5083"/>
          </w:tcPr>
          <w:p>
            <w:pPr>
              <w:spacing w:after="0"/>
            </w:pPr>
            <w:r>
              <w:rPr>
                <w:sz w:val="15"/>
              </w:rPr>
              <w:t>Tests utility of improved selection only after predictive validity is established.</w:t>
            </w:r>
          </w:p>
        </w:tc>
      </w:tr>
      <w:tr>
        <w:tc>
          <w:tcPr>
            <w:tcW w:type="dxa" w:w="5083"/>
          </w:tcPr>
          <w:p>
            <w:pPr>
              <w:spacing w:after="0"/>
            </w:pPr>
            <w:r>
              <w:rPr>
                <w:sz w:val="15"/>
              </w:rPr>
              <w:t>#009 Selection &amp; Readiness</w:t>
            </w:r>
          </w:p>
        </w:tc>
        <w:tc>
          <w:tcPr>
            <w:tcW w:type="dxa" w:w="5083"/>
          </w:tcPr>
          <w:p>
            <w:pPr>
              <w:spacing w:after="0"/>
            </w:pPr>
            <w:r>
              <w:rPr>
                <w:sz w:val="15"/>
              </w:rPr>
              <w:t>Focuses on pre-hire prediction, fairness, utility and decision rules.</w:t>
            </w:r>
          </w:p>
        </w:tc>
      </w:tr>
    </w:tbl>
    <w:p>
      <w:pPr>
        <w:pStyle w:val="Heading1"/>
      </w:pPr>
      <w:r>
        <w:t>4. Construct Boundary</w:t>
      </w:r>
    </w:p>
    <w:p>
      <w:r>
        <w:t>“Readiness” is not a personality label, moral judgment, medical inference, or generalized employability score. Until validated, ResolveCX will treat candidate characteristics as separate constructs and measures rather than combining them into a single index.</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Candidate domain</w:t>
            </w:r>
          </w:p>
        </w:tc>
        <w:tc>
          <w:tcPr>
            <w:tcW w:type="dxa" w:w="3389"/>
            <w:shd w:fill="0B3A53"/>
          </w:tcPr>
          <w:p>
            <w:r>
              <w:rPr>
                <w:b/>
                <w:color w:val="FFFFFF"/>
                <w:sz w:val="15"/>
              </w:rPr>
              <w:t>Illustrative evidence form</w:t>
            </w:r>
          </w:p>
        </w:tc>
        <w:tc>
          <w:tcPr>
            <w:tcW w:type="dxa" w:w="3389"/>
            <w:shd w:fill="0B3A53"/>
          </w:tcPr>
          <w:p>
            <w:r>
              <w:rPr>
                <w:b/>
                <w:color w:val="FFFFFF"/>
                <w:sz w:val="15"/>
              </w:rPr>
              <w:t>Boundary</w:t>
            </w:r>
          </w:p>
        </w:tc>
      </w:tr>
      <w:tr>
        <w:tc>
          <w:tcPr>
            <w:tcW w:type="dxa" w:w="3389"/>
          </w:tcPr>
          <w:p>
            <w:pPr>
              <w:spacing w:after="0"/>
            </w:pPr>
            <w:r>
              <w:rPr>
                <w:sz w:val="15"/>
              </w:rPr>
              <w:t>Realistic job understanding</w:t>
            </w:r>
          </w:p>
        </w:tc>
        <w:tc>
          <w:tcPr>
            <w:tcW w:type="dxa" w:w="3389"/>
          </w:tcPr>
          <w:p>
            <w:pPr>
              <w:spacing w:after="0"/>
            </w:pPr>
            <w:r>
              <w:rPr>
                <w:sz w:val="15"/>
              </w:rPr>
              <w:t>Scenario/preview comprehension</w:t>
            </w:r>
          </w:p>
        </w:tc>
        <w:tc>
          <w:tcPr>
            <w:tcW w:type="dxa" w:w="3389"/>
          </w:tcPr>
          <w:p>
            <w:pPr>
              <w:spacing w:after="0"/>
            </w:pPr>
            <w:r>
              <w:rPr>
                <w:sz w:val="15"/>
              </w:rPr>
              <w:t>Do not reward insider jargon.</w:t>
            </w:r>
          </w:p>
        </w:tc>
      </w:tr>
      <w:tr>
        <w:tc>
          <w:tcPr>
            <w:tcW w:type="dxa" w:w="3389"/>
          </w:tcPr>
          <w:p>
            <w:pPr>
              <w:spacing w:after="0"/>
            </w:pPr>
            <w:r>
              <w:rPr>
                <w:sz w:val="15"/>
              </w:rPr>
              <w:t>Communication</w:t>
            </w:r>
          </w:p>
        </w:tc>
        <w:tc>
          <w:tcPr>
            <w:tcW w:type="dxa" w:w="3389"/>
          </w:tcPr>
          <w:p>
            <w:pPr>
              <w:spacing w:after="0"/>
            </w:pPr>
            <w:r>
              <w:rPr>
                <w:sz w:val="15"/>
              </w:rPr>
              <w:t>Structured role-relevant response/work sample</w:t>
            </w:r>
          </w:p>
        </w:tc>
        <w:tc>
          <w:tcPr>
            <w:tcW w:type="dxa" w:w="3389"/>
          </w:tcPr>
          <w:p>
            <w:pPr>
              <w:spacing w:after="0"/>
            </w:pPr>
            <w:r>
              <w:rPr>
                <w:sz w:val="15"/>
              </w:rPr>
              <w:t>Assess job behavior, not accent conformity or charisma.</w:t>
            </w:r>
          </w:p>
        </w:tc>
      </w:tr>
      <w:tr>
        <w:tc>
          <w:tcPr>
            <w:tcW w:type="dxa" w:w="3389"/>
          </w:tcPr>
          <w:p>
            <w:pPr>
              <w:spacing w:after="0"/>
            </w:pPr>
            <w:r>
              <w:rPr>
                <w:sz w:val="15"/>
              </w:rPr>
              <w:t>Problem solving &amp; judgment</w:t>
            </w:r>
          </w:p>
        </w:tc>
        <w:tc>
          <w:tcPr>
            <w:tcW w:type="dxa" w:w="3389"/>
          </w:tcPr>
          <w:p>
            <w:pPr>
              <w:spacing w:after="0"/>
            </w:pPr>
            <w:r>
              <w:rPr>
                <w:sz w:val="15"/>
              </w:rPr>
              <w:t>Situational/work-sample task</w:t>
            </w:r>
          </w:p>
        </w:tc>
        <w:tc>
          <w:tcPr>
            <w:tcW w:type="dxa" w:w="3389"/>
          </w:tcPr>
          <w:p>
            <w:pPr>
              <w:spacing w:after="0"/>
            </w:pPr>
            <w:r>
              <w:rPr>
                <w:sz w:val="15"/>
              </w:rPr>
              <w:t>Tie scoring to job analysis and observable criteria.</w:t>
            </w:r>
          </w:p>
        </w:tc>
      </w:tr>
      <w:tr>
        <w:tc>
          <w:tcPr>
            <w:tcW w:type="dxa" w:w="3389"/>
          </w:tcPr>
          <w:p>
            <w:pPr>
              <w:spacing w:after="0"/>
            </w:pPr>
            <w:r>
              <w:rPr>
                <w:sz w:val="15"/>
              </w:rPr>
              <w:t>Learning agility / trainability</w:t>
            </w:r>
          </w:p>
        </w:tc>
        <w:tc>
          <w:tcPr>
            <w:tcW w:type="dxa" w:w="3389"/>
          </w:tcPr>
          <w:p>
            <w:pPr>
              <w:spacing w:after="0"/>
            </w:pPr>
            <w:r>
              <w:rPr>
                <w:sz w:val="15"/>
              </w:rPr>
              <w:t>Learning sample or change-in-performance task</w:t>
            </w:r>
          </w:p>
        </w:tc>
        <w:tc>
          <w:tcPr>
            <w:tcW w:type="dxa" w:w="3389"/>
          </w:tcPr>
          <w:p>
            <w:pPr>
              <w:spacing w:after="0"/>
            </w:pPr>
            <w:r>
              <w:rPr>
                <w:sz w:val="15"/>
              </w:rPr>
              <w:t>Separate prior knowledge from learning response.</w:t>
            </w:r>
          </w:p>
        </w:tc>
      </w:tr>
      <w:tr>
        <w:tc>
          <w:tcPr>
            <w:tcW w:type="dxa" w:w="3389"/>
          </w:tcPr>
          <w:p>
            <w:pPr>
              <w:spacing w:after="0"/>
            </w:pPr>
            <w:r>
              <w:rPr>
                <w:sz w:val="15"/>
              </w:rPr>
              <w:t>Technology navigation</w:t>
            </w:r>
          </w:p>
        </w:tc>
        <w:tc>
          <w:tcPr>
            <w:tcW w:type="dxa" w:w="3389"/>
          </w:tcPr>
          <w:p>
            <w:pPr>
              <w:spacing w:after="0"/>
            </w:pPr>
            <w:r>
              <w:rPr>
                <w:sz w:val="15"/>
              </w:rPr>
              <w:t>Job-relevant simulation</w:t>
            </w:r>
          </w:p>
        </w:tc>
        <w:tc>
          <w:tcPr>
            <w:tcW w:type="dxa" w:w="3389"/>
          </w:tcPr>
          <w:p>
            <w:pPr>
              <w:spacing w:after="0"/>
            </w:pPr>
            <w:r>
              <w:rPr>
                <w:sz w:val="15"/>
              </w:rPr>
              <w:t>Accommodate accessibility; avoid irrelevant digital privilege.</w:t>
            </w:r>
          </w:p>
        </w:tc>
      </w:tr>
      <w:tr>
        <w:tc>
          <w:tcPr>
            <w:tcW w:type="dxa" w:w="3389"/>
          </w:tcPr>
          <w:p>
            <w:pPr>
              <w:spacing w:after="0"/>
            </w:pPr>
            <w:r>
              <w:rPr>
                <w:sz w:val="15"/>
              </w:rPr>
              <w:t>Emotional regulation / customer interaction</w:t>
            </w:r>
          </w:p>
        </w:tc>
        <w:tc>
          <w:tcPr>
            <w:tcW w:type="dxa" w:w="3389"/>
          </w:tcPr>
          <w:p>
            <w:pPr>
              <w:spacing w:after="0"/>
            </w:pPr>
            <w:r>
              <w:rPr>
                <w:sz w:val="15"/>
              </w:rPr>
              <w:t>Behavioral scenario</w:t>
            </w:r>
          </w:p>
        </w:tc>
        <w:tc>
          <w:tcPr>
            <w:tcW w:type="dxa" w:w="3389"/>
          </w:tcPr>
          <w:p>
            <w:pPr>
              <w:spacing w:after="0"/>
            </w:pPr>
            <w:r>
              <w:rPr>
                <w:sz w:val="15"/>
              </w:rPr>
              <w:t>Do not infer mental-health status.</w:t>
            </w:r>
          </w:p>
        </w:tc>
      </w:tr>
      <w:tr>
        <w:tc>
          <w:tcPr>
            <w:tcW w:type="dxa" w:w="3389"/>
          </w:tcPr>
          <w:p>
            <w:pPr>
              <w:spacing w:after="0"/>
            </w:pPr>
            <w:r>
              <w:rPr>
                <w:sz w:val="15"/>
              </w:rPr>
              <w:t>Coachability / feedback use</w:t>
            </w:r>
          </w:p>
        </w:tc>
        <w:tc>
          <w:tcPr>
            <w:tcW w:type="dxa" w:w="3389"/>
          </w:tcPr>
          <w:p>
            <w:pPr>
              <w:spacing w:after="0"/>
            </w:pPr>
            <w:r>
              <w:rPr>
                <w:sz w:val="15"/>
              </w:rPr>
              <w:t>Structured feedback-and-retry exercise</w:t>
            </w:r>
          </w:p>
        </w:tc>
        <w:tc>
          <w:tcPr>
            <w:tcW w:type="dxa" w:w="3389"/>
          </w:tcPr>
          <w:p>
            <w:pPr>
              <w:spacing w:after="0"/>
            </w:pPr>
            <w:r>
              <w:rPr>
                <w:sz w:val="15"/>
              </w:rPr>
              <w:t>Measure behavior, not manager “likability.”</w:t>
            </w:r>
          </w:p>
        </w:tc>
      </w:tr>
      <w:tr>
        <w:tc>
          <w:tcPr>
            <w:tcW w:type="dxa" w:w="3389"/>
          </w:tcPr>
          <w:p>
            <w:pPr>
              <w:spacing w:after="0"/>
            </w:pPr>
            <w:r>
              <w:rPr>
                <w:sz w:val="15"/>
              </w:rPr>
              <w:t>Reliability / work constraints</w:t>
            </w:r>
          </w:p>
        </w:tc>
        <w:tc>
          <w:tcPr>
            <w:tcW w:type="dxa" w:w="3389"/>
          </w:tcPr>
          <w:p>
            <w:pPr>
              <w:spacing w:after="0"/>
            </w:pPr>
            <w:r>
              <w:rPr>
                <w:sz w:val="15"/>
              </w:rPr>
              <w:t>Only job-related, lawful information</w:t>
            </w:r>
          </w:p>
        </w:tc>
        <w:tc>
          <w:tcPr>
            <w:tcW w:type="dxa" w:w="3389"/>
          </w:tcPr>
          <w:p>
            <w:pPr>
              <w:spacing w:after="0"/>
            </w:pPr>
            <w:r>
              <w:rPr>
                <w:sz w:val="15"/>
              </w:rPr>
              <w:t>Do not proxy protected characteristics or poverty-related barriers.</w:t>
            </w:r>
          </w:p>
        </w:tc>
      </w:tr>
      <w:tr>
        <w:tc>
          <w:tcPr>
            <w:tcW w:type="dxa" w:w="3389"/>
          </w:tcPr>
          <w:p>
            <w:pPr>
              <w:spacing w:after="0"/>
            </w:pPr>
            <w:r>
              <w:rPr>
                <w:sz w:val="15"/>
              </w:rPr>
              <w:t>Vocational interest / preference fit</w:t>
            </w:r>
          </w:p>
        </w:tc>
        <w:tc>
          <w:tcPr>
            <w:tcW w:type="dxa" w:w="3389"/>
          </w:tcPr>
          <w:p>
            <w:pPr>
              <w:spacing w:after="0"/>
            </w:pPr>
            <w:r>
              <w:rPr>
                <w:sz w:val="15"/>
              </w:rPr>
              <w:t>Candidate preference and realistic preview</w:t>
            </w:r>
          </w:p>
        </w:tc>
        <w:tc>
          <w:tcPr>
            <w:tcW w:type="dxa" w:w="3389"/>
          </w:tcPr>
          <w:p>
            <w:pPr>
              <w:spacing w:after="0"/>
            </w:pPr>
            <w:r>
              <w:rPr>
                <w:sz w:val="15"/>
              </w:rPr>
              <w:t>Use for informed fit/self-selection cautiously, not as destiny.</w:t>
            </w:r>
          </w:p>
        </w:tc>
      </w:tr>
      <w:tr>
        <w:tc>
          <w:tcPr>
            <w:tcW w:type="dxa" w:w="3389"/>
          </w:tcPr>
          <w:p>
            <w:pPr>
              <w:spacing w:after="0"/>
            </w:pPr>
            <w:r>
              <w:rPr>
                <w:sz w:val="15"/>
              </w:rPr>
              <w:t>Prior experience</w:t>
            </w:r>
          </w:p>
        </w:tc>
        <w:tc>
          <w:tcPr>
            <w:tcW w:type="dxa" w:w="3389"/>
          </w:tcPr>
          <w:p>
            <w:pPr>
              <w:spacing w:after="0"/>
            </w:pPr>
            <w:r>
              <w:rPr>
                <w:sz w:val="15"/>
              </w:rPr>
              <w:t>Specific task/job exposure</w:t>
            </w:r>
          </w:p>
        </w:tc>
        <w:tc>
          <w:tcPr>
            <w:tcW w:type="dxa" w:w="3389"/>
          </w:tcPr>
          <w:p>
            <w:pPr>
              <w:spacing w:after="0"/>
            </w:pPr>
            <w:r>
              <w:rPr>
                <w:sz w:val="15"/>
              </w:rPr>
              <w:t>Treat as hypothesis, not default qualification.</w:t>
            </w:r>
          </w:p>
        </w:tc>
      </w:tr>
    </w:tbl>
    <w:p>
      <w:pPr>
        <w:pStyle w:val="Heading1"/>
      </w:pPr>
      <w:r>
        <w:t>5. Hypotheses</w:t>
      </w:r>
    </w:p>
    <w:p>
      <w:r>
        <w:rPr>
          <w:b/>
        </w:rPr>
        <w:t>H1 — Job-Relevant Work Samples</w:t>
      </w:r>
      <w:r>
        <w:t>: Structured, representative work samples will predict defined job outcomes when content and scoring are aligned to actual role requirements.</w:t>
      </w:r>
    </w:p>
    <w:p>
      <w:r>
        <w:rPr>
          <w:b/>
        </w:rPr>
        <w:t>H2 — Structured Evidence Over Informal Judgment</w:t>
      </w:r>
      <w:r>
        <w:t>: Structured interviews/scoring will provide more reproducible and defensible evidence than unstructured manager intuition.</w:t>
      </w:r>
    </w:p>
    <w:p>
      <w:r>
        <w:rPr>
          <w:b/>
        </w:rPr>
        <w:t>H3 — Prior Experience Has Limited Standalone Value</w:t>
      </w:r>
      <w:r>
        <w:t>: Amount or duration of prior contact-center experience will add limited predictive value after stronger job-relevant evidence is considered.</w:t>
      </w:r>
    </w:p>
    <w:p>
      <w:r>
        <w:rPr>
          <w:b/>
        </w:rPr>
        <w:t>H4 — Realistic Job Understanding Supports Self-Selection</w:t>
      </w:r>
      <w:r>
        <w:t>: Accurate previews and comprehension of job demands will improve expectation alignment and may reduce avoidable mismatch without functioning as an exclusionary test.</w:t>
      </w:r>
    </w:p>
    <w:p>
      <w:r>
        <w:rPr>
          <w:b/>
        </w:rPr>
        <w:t>H5 — Trainability Matters</w:t>
      </w:r>
      <w:r>
        <w:t>: Response to instruction and feedback will predict training/transition outcomes beyond static prior knowledge in roles where rapid learning is required.</w:t>
      </w:r>
    </w:p>
    <w:p>
      <w:r>
        <w:rPr>
          <w:b/>
        </w:rPr>
        <w:t>H6 — Prediction Is Criterion-Specific</w:t>
      </w:r>
      <w:r>
        <w:t>: A predictor useful for training performance may not predict retention, customer quality, adaptability or long-term performance; validity must be tied to each criterion.</w:t>
      </w:r>
    </w:p>
    <w:p>
      <w:r>
        <w:rPr>
          <w:b/>
        </w:rPr>
        <w:t>H7 — Prediction Is Context-Dependent</w:t>
      </w:r>
      <w:r>
        <w:t>: Validity will vary with job family, channel, complexity, employer systems, training design and operating context.</w:t>
      </w:r>
    </w:p>
    <w:p>
      <w:r>
        <w:rPr>
          <w:b/>
        </w:rPr>
        <w:t>H8 — Incremental Validity Is Required</w:t>
      </w:r>
      <w:r>
        <w:t>: A ResolveCX measure is useful only if it improves prediction or decision quality beyond simpler existing information enough to justify burden and risk.</w:t>
      </w:r>
    </w:p>
    <w:p>
      <w:r>
        <w:rPr>
          <w:b/>
        </w:rPr>
        <w:t>H9 — Fairness Is a Design Requirement</w:t>
      </w:r>
      <w:r>
        <w:t>: Selection utility must be evaluated jointly with subgroup outcomes, accessibility, job relatedness and viable alternatives with lower adverse impact.</w:t>
      </w:r>
    </w:p>
    <w:p>
      <w:r>
        <w:rPr>
          <w:b/>
        </w:rPr>
        <w:t>H10 — Readiness Is Developable for Some Constructs</w:t>
      </w:r>
      <w:r>
        <w:t>: Some capability gaps identified before hire will respond better to preparation than exclusion; assessment should distinguish selection from development use.</w:t>
      </w:r>
    </w:p>
    <w:p>
      <w:r>
        <w:rPr>
          <w:b/>
        </w:rPr>
        <w:t>H11 — Selection Cannot Repair Structural Problems</w:t>
      </w:r>
      <w:r>
        <w:t>: Candidate readiness will have bounded predictive/utility value when compensation, scheduling, leadership, staffing or work design dominate outcomes.</w:t>
      </w:r>
    </w:p>
    <w:p>
      <w:r>
        <w:rPr>
          <w:b/>
        </w:rPr>
        <w:t>H12 — Composite Scores Are Not Presumed</w:t>
      </w:r>
      <w:r>
        <w:t>: A single readiness score will not outperform transparent domain-level evidence unless empirical validation demonstrates reliability, incremental validity, fairness and useful decision consequences.</w:t>
      </w:r>
    </w:p>
    <w:p>
      <w:pPr>
        <w:pStyle w:val="Heading1"/>
      </w:pPr>
      <w:r>
        <w:t>6. Evidence Sufficiency Triage</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Hypothesis</w:t>
            </w:r>
          </w:p>
        </w:tc>
        <w:tc>
          <w:tcPr>
            <w:tcW w:type="dxa" w:w="3389"/>
            <w:shd w:fill="0B3A53"/>
          </w:tcPr>
          <w:p>
            <w:r>
              <w:rPr>
                <w:b/>
                <w:color w:val="FFFFFF"/>
                <w:sz w:val="15"/>
              </w:rPr>
              <w:t>Status</w:t>
            </w:r>
          </w:p>
        </w:tc>
        <w:tc>
          <w:tcPr>
            <w:tcW w:type="dxa" w:w="3389"/>
            <w:shd w:fill="0B3A53"/>
          </w:tcPr>
          <w:p>
            <w:r>
              <w:rPr>
                <w:b/>
                <w:color w:val="FFFFFF"/>
                <w:sz w:val="15"/>
              </w:rPr>
              <w:t>Research implication</w:t>
            </w:r>
          </w:p>
        </w:tc>
      </w:tr>
      <w:tr>
        <w:tc>
          <w:tcPr>
            <w:tcW w:type="dxa" w:w="3389"/>
          </w:tcPr>
          <w:p>
            <w:pPr>
              <w:spacing w:after="0"/>
            </w:pPr>
            <w:r>
              <w:rPr>
                <w:sz w:val="15"/>
              </w:rPr>
              <w:t>H1 Work samples</w:t>
            </w:r>
          </w:p>
        </w:tc>
        <w:tc>
          <w:tcPr>
            <w:tcW w:type="dxa" w:w="3389"/>
          </w:tcPr>
          <w:p>
            <w:pPr>
              <w:spacing w:after="0"/>
            </w:pPr>
            <w:r>
              <w:rPr>
                <w:sz w:val="15"/>
              </w:rPr>
              <w:t>ESTABLISHED METHOD FOUNDATION / LOCAL VALIDATION NEEDED</w:t>
            </w:r>
          </w:p>
        </w:tc>
        <w:tc>
          <w:tcPr>
            <w:tcW w:type="dxa" w:w="3389"/>
          </w:tcPr>
          <w:p>
            <w:pPr>
              <w:spacing w:after="0"/>
            </w:pPr>
            <w:r>
              <w:rPr>
                <w:sz w:val="15"/>
              </w:rPr>
              <w:t>Use professional selection evidence; validate contact-center content/criteria.</w:t>
            </w:r>
          </w:p>
        </w:tc>
      </w:tr>
      <w:tr>
        <w:tc>
          <w:tcPr>
            <w:tcW w:type="dxa" w:w="3389"/>
          </w:tcPr>
          <w:p>
            <w:pPr>
              <w:spacing w:after="0"/>
            </w:pPr>
            <w:r>
              <w:rPr>
                <w:sz w:val="15"/>
              </w:rPr>
              <w:t>H2 Structured evidence</w:t>
            </w:r>
          </w:p>
        </w:tc>
        <w:tc>
          <w:tcPr>
            <w:tcW w:type="dxa" w:w="3389"/>
          </w:tcPr>
          <w:p>
            <w:pPr>
              <w:spacing w:after="0"/>
            </w:pPr>
            <w:r>
              <w:rPr>
                <w:sz w:val="15"/>
              </w:rPr>
              <w:t>ESTABLISHED FOUNDATION</w:t>
            </w:r>
          </w:p>
        </w:tc>
        <w:tc>
          <w:tcPr>
            <w:tcW w:type="dxa" w:w="3389"/>
          </w:tcPr>
          <w:p>
            <w:pPr>
              <w:spacing w:after="0"/>
            </w:pPr>
            <w:r>
              <w:rPr>
                <w:sz w:val="15"/>
              </w:rPr>
              <w:t>Do not reinvent structure; test local implementation and incremental value.</w:t>
            </w:r>
          </w:p>
        </w:tc>
      </w:tr>
      <w:tr>
        <w:tc>
          <w:tcPr>
            <w:tcW w:type="dxa" w:w="3389"/>
          </w:tcPr>
          <w:p>
            <w:pPr>
              <w:spacing w:after="0"/>
            </w:pPr>
            <w:r>
              <w:rPr>
                <w:sz w:val="15"/>
              </w:rPr>
              <w:t>H3 Prior experience</w:t>
            </w:r>
          </w:p>
        </w:tc>
        <w:tc>
          <w:tcPr>
            <w:tcW w:type="dxa" w:w="3389"/>
          </w:tcPr>
          <w:p>
            <w:pPr>
              <w:spacing w:after="0"/>
            </w:pPr>
            <w:r>
              <w:rPr>
                <w:sz w:val="15"/>
              </w:rPr>
              <w:t>ESTABLISHED CONTRADICTORY TO COMMON PRACTICE</w:t>
            </w:r>
          </w:p>
        </w:tc>
        <w:tc>
          <w:tcPr>
            <w:tcW w:type="dxa" w:w="3389"/>
          </w:tcPr>
          <w:p>
            <w:pPr>
              <w:spacing w:after="0"/>
            </w:pPr>
            <w:r>
              <w:rPr>
                <w:sz w:val="15"/>
              </w:rPr>
              <w:t>Meta-analysis indicates weak prediction; test task-specific exceptions only.</w:t>
            </w:r>
          </w:p>
        </w:tc>
      </w:tr>
      <w:tr>
        <w:tc>
          <w:tcPr>
            <w:tcW w:type="dxa" w:w="3389"/>
          </w:tcPr>
          <w:p>
            <w:pPr>
              <w:spacing w:after="0"/>
            </w:pPr>
            <w:r>
              <w:rPr>
                <w:sz w:val="15"/>
              </w:rPr>
              <w:t>H4 Realistic understanding</w:t>
            </w:r>
          </w:p>
        </w:tc>
        <w:tc>
          <w:tcPr>
            <w:tcW w:type="dxa" w:w="3389"/>
          </w:tcPr>
          <w:p>
            <w:pPr>
              <w:spacing w:after="0"/>
            </w:pPr>
            <w:r>
              <w:rPr>
                <w:sz w:val="15"/>
              </w:rPr>
              <w:t>SUPPORTED / #002 DEPENDENCY</w:t>
            </w:r>
          </w:p>
        </w:tc>
        <w:tc>
          <w:tcPr>
            <w:tcW w:type="dxa" w:w="3389"/>
          </w:tcPr>
          <w:p>
            <w:pPr>
              <w:spacing w:after="0"/>
            </w:pPr>
            <w:r>
              <w:rPr>
                <w:sz w:val="15"/>
              </w:rPr>
              <w:t>Use #002 evidence; test selection/self-selection consequences.</w:t>
            </w:r>
          </w:p>
        </w:tc>
      </w:tr>
      <w:tr>
        <w:tc>
          <w:tcPr>
            <w:tcW w:type="dxa" w:w="3389"/>
          </w:tcPr>
          <w:p>
            <w:pPr>
              <w:spacing w:after="0"/>
            </w:pPr>
            <w:r>
              <w:rPr>
                <w:sz w:val="15"/>
              </w:rPr>
              <w:t>H5 Trainability</w:t>
            </w:r>
          </w:p>
        </w:tc>
        <w:tc>
          <w:tcPr>
            <w:tcW w:type="dxa" w:w="3389"/>
          </w:tcPr>
          <w:p>
            <w:pPr>
              <w:spacing w:after="0"/>
            </w:pPr>
            <w:r>
              <w:rPr>
                <w:sz w:val="15"/>
              </w:rPr>
              <w:t>SUPPORTED CONCEPTUALLY / CONTACT-CENTER GAP</w:t>
            </w:r>
          </w:p>
        </w:tc>
        <w:tc>
          <w:tcPr>
            <w:tcW w:type="dxa" w:w="3389"/>
          </w:tcPr>
          <w:p>
            <w:pPr>
              <w:spacing w:after="0"/>
            </w:pPr>
            <w:r>
              <w:rPr>
                <w:sz w:val="15"/>
              </w:rPr>
              <w:t>Define and validate a behavior-based learning sample if needed.</w:t>
            </w:r>
          </w:p>
        </w:tc>
      </w:tr>
      <w:tr>
        <w:tc>
          <w:tcPr>
            <w:tcW w:type="dxa" w:w="3389"/>
          </w:tcPr>
          <w:p>
            <w:pPr>
              <w:spacing w:after="0"/>
            </w:pPr>
            <w:r>
              <w:rPr>
                <w:sz w:val="15"/>
              </w:rPr>
              <w:t>H6 Criterion specificity</w:t>
            </w:r>
          </w:p>
        </w:tc>
        <w:tc>
          <w:tcPr>
            <w:tcW w:type="dxa" w:w="3389"/>
          </w:tcPr>
          <w:p>
            <w:pPr>
              <w:spacing w:after="0"/>
            </w:pPr>
            <w:r>
              <w:rPr>
                <w:sz w:val="15"/>
              </w:rPr>
              <w:t>ESTABLISHED VALIDATION PRINCIPLE</w:t>
            </w:r>
          </w:p>
        </w:tc>
        <w:tc>
          <w:tcPr>
            <w:tcW w:type="dxa" w:w="3389"/>
          </w:tcPr>
          <w:p>
            <w:pPr>
              <w:spacing w:after="0"/>
            </w:pPr>
            <w:r>
              <w:rPr>
                <w:sz w:val="15"/>
              </w:rPr>
              <w:t>Predefine criteria; do not claim global “success prediction.”</w:t>
            </w:r>
          </w:p>
        </w:tc>
      </w:tr>
      <w:tr>
        <w:tc>
          <w:tcPr>
            <w:tcW w:type="dxa" w:w="3389"/>
          </w:tcPr>
          <w:p>
            <w:pPr>
              <w:spacing w:after="0"/>
            </w:pPr>
            <w:r>
              <w:rPr>
                <w:sz w:val="15"/>
              </w:rPr>
              <w:t>H7 Context dependence</w:t>
            </w:r>
          </w:p>
        </w:tc>
        <w:tc>
          <w:tcPr>
            <w:tcW w:type="dxa" w:w="3389"/>
          </w:tcPr>
          <w:p>
            <w:pPr>
              <w:spacing w:after="0"/>
            </w:pPr>
            <w:r>
              <w:rPr>
                <w:sz w:val="15"/>
              </w:rPr>
              <w:t>ESTABLISHED PRINCIPLE</w:t>
            </w:r>
          </w:p>
        </w:tc>
        <w:tc>
          <w:tcPr>
            <w:tcW w:type="dxa" w:w="3389"/>
          </w:tcPr>
          <w:p>
            <w:pPr>
              <w:spacing w:after="0"/>
            </w:pPr>
            <w:r>
              <w:rPr>
                <w:sz w:val="15"/>
              </w:rPr>
              <w:t>Require transportability/local evidence.</w:t>
            </w:r>
          </w:p>
        </w:tc>
      </w:tr>
      <w:tr>
        <w:tc>
          <w:tcPr>
            <w:tcW w:type="dxa" w:w="3389"/>
          </w:tcPr>
          <w:p>
            <w:pPr>
              <w:spacing w:after="0"/>
            </w:pPr>
            <w:r>
              <w:rPr>
                <w:sz w:val="15"/>
              </w:rPr>
              <w:t>H8 Incremental validity</w:t>
            </w:r>
          </w:p>
        </w:tc>
        <w:tc>
          <w:tcPr>
            <w:tcW w:type="dxa" w:w="3389"/>
          </w:tcPr>
          <w:p>
            <w:pPr>
              <w:spacing w:after="0"/>
            </w:pPr>
            <w:r>
              <w:rPr>
                <w:sz w:val="15"/>
              </w:rPr>
              <w:t>ESTABLISHED DECISION PRINCIPLE</w:t>
            </w:r>
          </w:p>
        </w:tc>
        <w:tc>
          <w:tcPr>
            <w:tcW w:type="dxa" w:w="3389"/>
          </w:tcPr>
          <w:p>
            <w:pPr>
              <w:spacing w:after="0"/>
            </w:pPr>
            <w:r>
              <w:rPr>
                <w:sz w:val="15"/>
              </w:rPr>
              <w:t>Benchmark against current process and simpler alternatives.</w:t>
            </w:r>
          </w:p>
        </w:tc>
      </w:tr>
      <w:tr>
        <w:tc>
          <w:tcPr>
            <w:tcW w:type="dxa" w:w="3389"/>
          </w:tcPr>
          <w:p>
            <w:pPr>
              <w:spacing w:after="0"/>
            </w:pPr>
            <w:r>
              <w:rPr>
                <w:sz w:val="15"/>
              </w:rPr>
              <w:t>H9 Fairness</w:t>
            </w:r>
          </w:p>
        </w:tc>
        <w:tc>
          <w:tcPr>
            <w:tcW w:type="dxa" w:w="3389"/>
          </w:tcPr>
          <w:p>
            <w:pPr>
              <w:spacing w:after="0"/>
            </w:pPr>
            <w:r>
              <w:rPr>
                <w:sz w:val="15"/>
              </w:rPr>
              <w:t>ESTABLISHED LEGAL/PROFESSIONAL REQUIREMENT</w:t>
            </w:r>
          </w:p>
        </w:tc>
        <w:tc>
          <w:tcPr>
            <w:tcW w:type="dxa" w:w="3389"/>
          </w:tcPr>
          <w:p>
            <w:pPr>
              <w:spacing w:after="0"/>
            </w:pPr>
            <w:r>
              <w:rPr>
                <w:sz w:val="15"/>
              </w:rPr>
              <w:t>Adverse-impact/accessibility review required before operational use.</w:t>
            </w:r>
          </w:p>
        </w:tc>
      </w:tr>
      <w:tr>
        <w:tc>
          <w:tcPr>
            <w:tcW w:type="dxa" w:w="3389"/>
          </w:tcPr>
          <w:p>
            <w:pPr>
              <w:spacing w:after="0"/>
            </w:pPr>
            <w:r>
              <w:rPr>
                <w:sz w:val="15"/>
              </w:rPr>
              <w:t>H10 Developability</w:t>
            </w:r>
          </w:p>
        </w:tc>
        <w:tc>
          <w:tcPr>
            <w:tcW w:type="dxa" w:w="3389"/>
          </w:tcPr>
          <w:p>
            <w:pPr>
              <w:spacing w:after="0"/>
            </w:pPr>
            <w:r>
              <w:rPr>
                <w:sz w:val="15"/>
              </w:rPr>
              <w:t>EVIDENCE GAP / HIGH STRATEGIC VALUE</w:t>
            </w:r>
          </w:p>
        </w:tc>
        <w:tc>
          <w:tcPr>
            <w:tcW w:type="dxa" w:w="3389"/>
          </w:tcPr>
          <w:p>
            <w:pPr>
              <w:spacing w:after="0"/>
            </w:pPr>
            <w:r>
              <w:rPr>
                <w:sz w:val="15"/>
              </w:rPr>
              <w:t>Compare preparation/remediation with rejection.</w:t>
            </w:r>
          </w:p>
        </w:tc>
      </w:tr>
      <w:tr>
        <w:tc>
          <w:tcPr>
            <w:tcW w:type="dxa" w:w="3389"/>
          </w:tcPr>
          <w:p>
            <w:pPr>
              <w:spacing w:after="0"/>
            </w:pPr>
            <w:r>
              <w:rPr>
                <w:sz w:val="15"/>
              </w:rPr>
              <w:t>H11 Structural ceiling</w:t>
            </w:r>
          </w:p>
        </w:tc>
        <w:tc>
          <w:tcPr>
            <w:tcW w:type="dxa" w:w="3389"/>
          </w:tcPr>
          <w:p>
            <w:pPr>
              <w:spacing w:after="0"/>
            </w:pPr>
            <w:r>
              <w:rPr>
                <w:sz w:val="15"/>
              </w:rPr>
              <w:t>SUPPORTED / #010 LINK</w:t>
            </w:r>
          </w:p>
        </w:tc>
        <w:tc>
          <w:tcPr>
            <w:tcW w:type="dxa" w:w="3389"/>
          </w:tcPr>
          <w:p>
            <w:pPr>
              <w:spacing w:after="0"/>
            </w:pPr>
            <w:r>
              <w:rPr>
                <w:sz w:val="15"/>
              </w:rPr>
              <w:t>Model job/work context as competing explanation.</w:t>
            </w:r>
          </w:p>
        </w:tc>
      </w:tr>
      <w:tr>
        <w:tc>
          <w:tcPr>
            <w:tcW w:type="dxa" w:w="3389"/>
          </w:tcPr>
          <w:p>
            <w:pPr>
              <w:spacing w:after="0"/>
            </w:pPr>
            <w:r>
              <w:rPr>
                <w:sz w:val="15"/>
              </w:rPr>
              <w:t>H12 Composite score</w:t>
            </w:r>
          </w:p>
        </w:tc>
        <w:tc>
          <w:tcPr>
            <w:tcW w:type="dxa" w:w="3389"/>
          </w:tcPr>
          <w:p>
            <w:pPr>
              <w:spacing w:after="0"/>
            </w:pPr>
            <w:r>
              <w:rPr>
                <w:sz w:val="15"/>
              </w:rPr>
              <w:t>RESOLVECX-SPECIFIC GAP</w:t>
            </w:r>
          </w:p>
        </w:tc>
        <w:tc>
          <w:tcPr>
            <w:tcW w:type="dxa" w:w="3389"/>
          </w:tcPr>
          <w:p>
            <w:pPr>
              <w:spacing w:after="0"/>
            </w:pPr>
            <w:r>
              <w:rPr>
                <w:sz w:val="15"/>
              </w:rPr>
              <w:t>No proprietary index until validation.</w:t>
            </w:r>
          </w:p>
        </w:tc>
      </w:tr>
    </w:tbl>
    <w:p>
      <w:pPr>
        <w:pStyle w:val="Heading1"/>
      </w:pPr>
      <w:r>
        <w:t>7. Validation Architecture</w:t>
      </w:r>
    </w:p>
    <w:p>
      <w:pPr>
        <w:pStyle w:val="ListBullet"/>
        <w:spacing w:after="20"/>
      </w:pPr>
      <w:r>
        <w:t>Begin with job analysis and criterion definition before item development.</w:t>
      </w:r>
    </w:p>
    <w:p>
      <w:pPr>
        <w:pStyle w:val="ListBullet"/>
        <w:spacing w:after="20"/>
      </w:pPr>
      <w:r>
        <w:t>Separate content evidence, construct evidence, criterion-related evidence and decision utility.</w:t>
      </w:r>
    </w:p>
    <w:p>
      <w:pPr>
        <w:pStyle w:val="ListBullet"/>
        <w:spacing w:after="20"/>
      </w:pPr>
      <w:r>
        <w:t>Use prospective or cross-validated samples where feasible; avoid reporting development-sample performance as final validity.</w:t>
      </w:r>
    </w:p>
    <w:p>
      <w:pPr>
        <w:pStyle w:val="ListBullet"/>
        <w:spacing w:after="20"/>
      </w:pPr>
      <w:r>
        <w:t>Estimate incremental validity beyond current selection variables.</w:t>
      </w:r>
    </w:p>
    <w:p>
      <w:pPr>
        <w:pStyle w:val="ListBullet"/>
        <w:spacing w:after="20"/>
      </w:pPr>
      <w:r>
        <w:t>Evaluate calibration, false positives/false negatives and decision consequences—not correlation alone.</w:t>
      </w:r>
    </w:p>
    <w:p>
      <w:pPr>
        <w:pStyle w:val="ListBullet"/>
        <w:spacing w:after="20"/>
      </w:pPr>
      <w:r>
        <w:t>Test subgroup performance, selection rates and adverse impact at the total-process and component levels where applicable.</w:t>
      </w:r>
    </w:p>
    <w:p>
      <w:pPr>
        <w:pStyle w:val="ListBullet"/>
        <w:spacing w:after="20"/>
      </w:pPr>
      <w:r>
        <w:t>Investigate less exclusionary alternatives when a procedure produces material adverse impact.</w:t>
      </w:r>
    </w:p>
    <w:p>
      <w:pPr>
        <w:pStyle w:val="ListBullet"/>
        <w:spacing w:after="20"/>
      </w:pPr>
      <w:r>
        <w:t>Revalidate when the job, technology, channel or scoring use changes materially.</w:t>
      </w:r>
    </w:p>
    <w:p>
      <w:pPr>
        <w:pStyle w:val="Heading1"/>
      </w:pPr>
      <w:r>
        <w:t>8. Criterion Architecture</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5"/>
              </w:rPr>
              <w:t>Criterion family</w:t>
            </w:r>
          </w:p>
        </w:tc>
        <w:tc>
          <w:tcPr>
            <w:tcW w:type="dxa" w:w="3389"/>
            <w:shd w:fill="0B3A53"/>
          </w:tcPr>
          <w:p>
            <w:r>
              <w:rPr>
                <w:b/>
                <w:color w:val="FFFFFF"/>
                <w:sz w:val="15"/>
              </w:rPr>
              <w:t>Examples</w:t>
            </w:r>
          </w:p>
        </w:tc>
        <w:tc>
          <w:tcPr>
            <w:tcW w:type="dxa" w:w="3389"/>
            <w:shd w:fill="0B3A53"/>
          </w:tcPr>
          <w:p>
            <w:r>
              <w:rPr>
                <w:b/>
                <w:color w:val="FFFFFF"/>
                <w:sz w:val="15"/>
              </w:rPr>
              <w:t>Guardrail</w:t>
            </w:r>
          </w:p>
        </w:tc>
      </w:tr>
      <w:tr>
        <w:tc>
          <w:tcPr>
            <w:tcW w:type="dxa" w:w="3389"/>
          </w:tcPr>
          <w:p>
            <w:pPr>
              <w:spacing w:after="0"/>
            </w:pPr>
            <w:r>
              <w:rPr>
                <w:sz w:val="15"/>
              </w:rPr>
              <w:t>Training</w:t>
            </w:r>
          </w:p>
        </w:tc>
        <w:tc>
          <w:tcPr>
            <w:tcW w:type="dxa" w:w="3389"/>
          </w:tcPr>
          <w:p>
            <w:pPr>
              <w:spacing w:after="0"/>
            </w:pPr>
            <w:r>
              <w:rPr>
                <w:sz w:val="15"/>
              </w:rPr>
              <w:t>Completion, assessment performance, remediation need</w:t>
            </w:r>
          </w:p>
        </w:tc>
        <w:tc>
          <w:tcPr>
            <w:tcW w:type="dxa" w:w="3389"/>
          </w:tcPr>
          <w:p>
            <w:pPr>
              <w:spacing w:after="0"/>
            </w:pPr>
            <w:r>
              <w:rPr>
                <w:sz w:val="15"/>
              </w:rPr>
              <w:t>Training quality is a confounder.</w:t>
            </w:r>
          </w:p>
        </w:tc>
      </w:tr>
      <w:tr>
        <w:tc>
          <w:tcPr>
            <w:tcW w:type="dxa" w:w="3389"/>
          </w:tcPr>
          <w:p>
            <w:pPr>
              <w:spacing w:after="0"/>
            </w:pPr>
            <w:r>
              <w:rPr>
                <w:sz w:val="15"/>
              </w:rPr>
              <w:t>Transition</w:t>
            </w:r>
          </w:p>
        </w:tc>
        <w:tc>
          <w:tcPr>
            <w:tcW w:type="dxa" w:w="3389"/>
          </w:tcPr>
          <w:p>
            <w:pPr>
              <w:spacing w:after="0"/>
            </w:pPr>
            <w:r>
              <w:rPr>
                <w:sz w:val="15"/>
              </w:rPr>
              <w:t>Nesting/live-production readiness, Day 30/60/90</w:t>
            </w:r>
          </w:p>
        </w:tc>
        <w:tc>
          <w:tcPr>
            <w:tcW w:type="dxa" w:w="3389"/>
          </w:tcPr>
          <w:p>
            <w:pPr>
              <w:spacing w:after="0"/>
            </w:pPr>
            <w:r>
              <w:rPr>
                <w:sz w:val="15"/>
              </w:rPr>
              <w:t>Do not define survival as mere employment.</w:t>
            </w:r>
          </w:p>
        </w:tc>
      </w:tr>
      <w:tr>
        <w:tc>
          <w:tcPr>
            <w:tcW w:type="dxa" w:w="3389"/>
          </w:tcPr>
          <w:p>
            <w:pPr>
              <w:spacing w:after="0"/>
            </w:pPr>
            <w:r>
              <w:rPr>
                <w:sz w:val="15"/>
              </w:rPr>
              <w:t>Performance</w:t>
            </w:r>
          </w:p>
        </w:tc>
        <w:tc>
          <w:tcPr>
            <w:tcW w:type="dxa" w:w="3389"/>
          </w:tcPr>
          <w:p>
            <w:pPr>
              <w:spacing w:after="0"/>
            </w:pPr>
            <w:r>
              <w:rPr>
                <w:sz w:val="15"/>
              </w:rPr>
              <w:t>Quality, resolution, productivity, compliance</w:t>
            </w:r>
          </w:p>
        </w:tc>
        <w:tc>
          <w:tcPr>
            <w:tcW w:type="dxa" w:w="3389"/>
          </w:tcPr>
          <w:p>
            <w:pPr>
              <w:spacing w:after="0"/>
            </w:pPr>
            <w:r>
              <w:rPr>
                <w:sz w:val="15"/>
              </w:rPr>
              <w:t>Use quality-adjusted multi-metric criteria.</w:t>
            </w:r>
          </w:p>
        </w:tc>
      </w:tr>
      <w:tr>
        <w:tc>
          <w:tcPr>
            <w:tcW w:type="dxa" w:w="3389"/>
          </w:tcPr>
          <w:p>
            <w:pPr>
              <w:spacing w:after="0"/>
            </w:pPr>
            <w:r>
              <w:rPr>
                <w:sz w:val="15"/>
              </w:rPr>
              <w:t>Learning/adaptation</w:t>
            </w:r>
          </w:p>
        </w:tc>
        <w:tc>
          <w:tcPr>
            <w:tcW w:type="dxa" w:w="3389"/>
          </w:tcPr>
          <w:p>
            <w:pPr>
              <w:spacing w:after="0"/>
            </w:pPr>
            <w:r>
              <w:rPr>
                <w:sz w:val="15"/>
              </w:rPr>
              <w:t>Improvement after feedback/change</w:t>
            </w:r>
          </w:p>
        </w:tc>
        <w:tc>
          <w:tcPr>
            <w:tcW w:type="dxa" w:w="3389"/>
          </w:tcPr>
          <w:p>
            <w:pPr>
              <w:spacing w:after="0"/>
            </w:pPr>
            <w:r>
              <w:rPr>
                <w:sz w:val="15"/>
              </w:rPr>
              <w:t>Distinguish baseline skill from growth.</w:t>
            </w:r>
          </w:p>
        </w:tc>
      </w:tr>
      <w:tr>
        <w:tc>
          <w:tcPr>
            <w:tcW w:type="dxa" w:w="3389"/>
          </w:tcPr>
          <w:p>
            <w:pPr>
              <w:spacing w:after="0"/>
            </w:pPr>
            <w:r>
              <w:rPr>
                <w:sz w:val="15"/>
              </w:rPr>
              <w:t>Sustainability</w:t>
            </w:r>
          </w:p>
        </w:tc>
        <w:tc>
          <w:tcPr>
            <w:tcW w:type="dxa" w:w="3389"/>
          </w:tcPr>
          <w:p>
            <w:pPr>
              <w:spacing w:after="0"/>
            </w:pPr>
            <w:r>
              <w:rPr>
                <w:sz w:val="15"/>
              </w:rPr>
              <w:t>Attendance/withdrawal/retention where appropriate</w:t>
            </w:r>
          </w:p>
        </w:tc>
        <w:tc>
          <w:tcPr>
            <w:tcW w:type="dxa" w:w="3389"/>
          </w:tcPr>
          <w:p>
            <w:pPr>
              <w:spacing w:after="0"/>
            </w:pPr>
            <w:r>
              <w:rPr>
                <w:sz w:val="15"/>
              </w:rPr>
              <w:t>Avoid treating all turnover as candidate failure.</w:t>
            </w:r>
          </w:p>
        </w:tc>
      </w:tr>
      <w:tr>
        <w:tc>
          <w:tcPr>
            <w:tcW w:type="dxa" w:w="3389"/>
          </w:tcPr>
          <w:p>
            <w:pPr>
              <w:spacing w:after="0"/>
            </w:pPr>
            <w:r>
              <w:rPr>
                <w:sz w:val="15"/>
              </w:rPr>
              <w:t>Customer</w:t>
            </w:r>
          </w:p>
        </w:tc>
        <w:tc>
          <w:tcPr>
            <w:tcW w:type="dxa" w:w="3389"/>
          </w:tcPr>
          <w:p>
            <w:pPr>
              <w:spacing w:after="0"/>
            </w:pPr>
            <w:r>
              <w:rPr>
                <w:sz w:val="15"/>
              </w:rPr>
              <w:t>Resolution/error/escalation where attributable</w:t>
            </w:r>
          </w:p>
        </w:tc>
        <w:tc>
          <w:tcPr>
            <w:tcW w:type="dxa" w:w="3389"/>
          </w:tcPr>
          <w:p>
            <w:pPr>
              <w:spacing w:after="0"/>
            </w:pPr>
            <w:r>
              <w:rPr>
                <w:sz w:val="15"/>
              </w:rPr>
              <w:t>Do not infer from speed alone.</w:t>
            </w:r>
          </w:p>
        </w:tc>
      </w:tr>
      <w:tr>
        <w:tc>
          <w:tcPr>
            <w:tcW w:type="dxa" w:w="3389"/>
          </w:tcPr>
          <w:p>
            <w:pPr>
              <w:spacing w:after="0"/>
            </w:pPr>
            <w:r>
              <w:rPr>
                <w:sz w:val="15"/>
              </w:rPr>
              <w:t>Career</w:t>
            </w:r>
          </w:p>
        </w:tc>
        <w:tc>
          <w:tcPr>
            <w:tcW w:type="dxa" w:w="3389"/>
          </w:tcPr>
          <w:p>
            <w:pPr>
              <w:spacing w:after="0"/>
            </w:pPr>
            <w:r>
              <w:rPr>
                <w:sz w:val="15"/>
              </w:rPr>
              <w:t>Progression/skill development where longitudinal</w:t>
            </w:r>
          </w:p>
        </w:tc>
        <w:tc>
          <w:tcPr>
            <w:tcW w:type="dxa" w:w="3389"/>
          </w:tcPr>
          <w:p>
            <w:pPr>
              <w:spacing w:after="0"/>
            </w:pPr>
            <w:r>
              <w:rPr>
                <w:sz w:val="15"/>
              </w:rPr>
              <w:t>Selection for entry is not prediction of destiny.</w:t>
            </w:r>
          </w:p>
        </w:tc>
      </w:tr>
    </w:tbl>
    <w:p>
      <w:pPr>
        <w:pStyle w:val="Heading1"/>
      </w:pPr>
      <w:r>
        <w:t>9. Fairness, Accessibility and Legal Guardrails</w:t>
      </w:r>
    </w:p>
    <w:p>
      <w:r>
        <w:t>This protocol is research guidance, not legal advice. Any operational employment use must be reviewed against applicable law and professional standards. EEOC guidance emphasizes job relatedness, business necessity where adverse impact exists, validation, and consideration of alternatives with less adverse impact. ResolveCX will treat fairness as a continuous design and monitoring obligation rather than a one-time pass/fail statistic.</w:t>
      </w:r>
    </w:p>
    <w:p>
      <w:pPr>
        <w:pStyle w:val="ListBullet"/>
        <w:spacing w:after="20"/>
      </w:pPr>
      <w:r>
        <w:t>No disability-related inquiries or medical inference in pre-offer research/selection instruments.</w:t>
      </w:r>
    </w:p>
    <w:p>
      <w:pPr>
        <w:pStyle w:val="ListBullet"/>
        <w:spacing w:after="20"/>
      </w:pPr>
      <w:r>
        <w:t>Provide appropriate accessibility/accommodation pathways for simulations and assessments.</w:t>
      </w:r>
    </w:p>
    <w:p>
      <w:pPr>
        <w:pStyle w:val="ListBullet"/>
        <w:spacing w:after="20"/>
      </w:pPr>
      <w:r>
        <w:t>Avoid features that proxy socioeconomic resources when they are not job requirements.</w:t>
      </w:r>
    </w:p>
    <w:p>
      <w:pPr>
        <w:pStyle w:val="ListBullet"/>
        <w:spacing w:after="20"/>
      </w:pPr>
      <w:r>
        <w:t>Report subgroup sample sizes and uncertainty; do not overinterpret unstable small-cell results.</w:t>
      </w:r>
    </w:p>
    <w:p>
      <w:pPr>
        <w:pStyle w:val="ListBullet"/>
        <w:spacing w:after="20"/>
      </w:pPr>
      <w:r>
        <w:t>Do not use protected attributes as scoring features. They may be collected under appropriate governance for fairness auditing when lawful and justified.</w:t>
      </w:r>
    </w:p>
    <w:p>
      <w:pPr>
        <w:pStyle w:val="ListBullet"/>
        <w:spacing w:after="20"/>
      </w:pPr>
      <w:r>
        <w:t>Human review must not be used as an unstructured override that reintroduces bias.</w:t>
      </w:r>
    </w:p>
    <w:p>
      <w:pPr>
        <w:pStyle w:val="Heading1"/>
      </w:pPr>
      <w:r>
        <w:t>10. Primary Data Trigger Rules</w:t>
      </w:r>
    </w:p>
    <w:p>
      <w:pPr>
        <w:pStyle w:val="ListBullet"/>
        <w:spacing w:after="20"/>
      </w:pPr>
      <w:r>
        <w:t>Do not create a new readiness instrument if established measures or job samples answer the question adequately.</w:t>
      </w:r>
    </w:p>
    <w:p>
      <w:pPr>
        <w:pStyle w:val="ListBullet"/>
        <w:spacing w:after="20"/>
      </w:pPr>
      <w:r>
        <w:t>Do not collect applicant surveys when employer selection/outcome data can test predictive validity directly.</w:t>
      </w:r>
    </w:p>
    <w:p>
      <w:pPr>
        <w:pStyle w:val="ListBullet"/>
        <w:spacing w:after="20"/>
      </w:pPr>
      <w:r>
        <w:t>Use cognitive interviews/pilots for any new candidate-facing items before consequential use.</w:t>
      </w:r>
    </w:p>
    <w:p>
      <w:pPr>
        <w:pStyle w:val="ListBullet"/>
        <w:spacing w:after="20"/>
      </w:pPr>
      <w:r>
        <w:t>Collect criterion data prospectively and independently of predictor scoring where feasible.</w:t>
      </w:r>
    </w:p>
    <w:p>
      <w:pPr>
        <w:pStyle w:val="ListBullet"/>
        <w:spacing w:after="20"/>
      </w:pPr>
      <w:r>
        <w:t>Do not operationalize cut scores from exploratory data.</w:t>
      </w:r>
    </w:p>
    <w:p>
      <w:pPr>
        <w:pStyle w:val="ListBullet"/>
        <w:spacing w:after="20"/>
      </w:pPr>
      <w:r>
        <w:t>Complete an Evidence Sufficiency Decision Record before new collection.</w:t>
      </w:r>
    </w:p>
    <w:p>
      <w:pPr>
        <w:pStyle w:val="Heading1"/>
      </w:pPr>
      <w:r>
        <w:t>11. Minimum Employer Validation Dataset</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Domain</w:t>
            </w:r>
          </w:p>
        </w:tc>
        <w:tc>
          <w:tcPr>
            <w:tcW w:type="dxa" w:w="5083"/>
            <w:shd w:fill="0B3A53"/>
          </w:tcPr>
          <w:p>
            <w:r>
              <w:rPr>
                <w:b/>
                <w:color w:val="FFFFFF"/>
                <w:sz w:val="15"/>
              </w:rPr>
              <w:t>Minimum fields</w:t>
            </w:r>
          </w:p>
        </w:tc>
      </w:tr>
      <w:tr>
        <w:tc>
          <w:tcPr>
            <w:tcW w:type="dxa" w:w="5083"/>
          </w:tcPr>
          <w:p>
            <w:pPr>
              <w:spacing w:after="0"/>
            </w:pPr>
            <w:r>
              <w:rPr>
                <w:sz w:val="15"/>
              </w:rPr>
              <w:t>Applicant</w:t>
            </w:r>
          </w:p>
        </w:tc>
        <w:tc>
          <w:tcPr>
            <w:tcW w:type="dxa" w:w="5083"/>
          </w:tcPr>
          <w:p>
            <w:pPr>
              <w:spacing w:after="0"/>
            </w:pPr>
            <w:r>
              <w:rPr>
                <w:sz w:val="15"/>
              </w:rPr>
              <w:t>Eligibility, stage, predictor scores/components, selection decision</w:t>
            </w:r>
          </w:p>
        </w:tc>
      </w:tr>
      <w:tr>
        <w:tc>
          <w:tcPr>
            <w:tcW w:type="dxa" w:w="5083"/>
          </w:tcPr>
          <w:p>
            <w:pPr>
              <w:spacing w:after="0"/>
            </w:pPr>
            <w:r>
              <w:rPr>
                <w:sz w:val="15"/>
              </w:rPr>
              <w:t>Process</w:t>
            </w:r>
          </w:p>
        </w:tc>
        <w:tc>
          <w:tcPr>
            <w:tcW w:type="dxa" w:w="5083"/>
          </w:tcPr>
          <w:p>
            <w:pPr>
              <w:spacing w:after="0"/>
            </w:pPr>
            <w:r>
              <w:rPr>
                <w:sz w:val="15"/>
              </w:rPr>
              <w:t>Recruiter/interviewer, structured scoring, accommodations, route to hire</w:t>
            </w:r>
          </w:p>
        </w:tc>
      </w:tr>
      <w:tr>
        <w:tc>
          <w:tcPr>
            <w:tcW w:type="dxa" w:w="5083"/>
          </w:tcPr>
          <w:p>
            <w:pPr>
              <w:spacing w:after="0"/>
            </w:pPr>
            <w:r>
              <w:rPr>
                <w:sz w:val="15"/>
              </w:rPr>
              <w:t>Job/context</w:t>
            </w:r>
          </w:p>
        </w:tc>
        <w:tc>
          <w:tcPr>
            <w:tcW w:type="dxa" w:w="5083"/>
          </w:tcPr>
          <w:p>
            <w:pPr>
              <w:spacing w:after="0"/>
            </w:pPr>
            <w:r>
              <w:rPr>
                <w:sz w:val="15"/>
              </w:rPr>
              <w:t>Role/channel, complexity, schedule/work arrangement, employer/site/cohort</w:t>
            </w:r>
          </w:p>
        </w:tc>
      </w:tr>
      <w:tr>
        <w:tc>
          <w:tcPr>
            <w:tcW w:type="dxa" w:w="5083"/>
          </w:tcPr>
          <w:p>
            <w:pPr>
              <w:spacing w:after="0"/>
            </w:pPr>
            <w:r>
              <w:rPr>
                <w:sz w:val="15"/>
              </w:rPr>
              <w:t>Training</w:t>
            </w:r>
          </w:p>
        </w:tc>
        <w:tc>
          <w:tcPr>
            <w:tcW w:type="dxa" w:w="5083"/>
          </w:tcPr>
          <w:p>
            <w:pPr>
              <w:spacing w:after="0"/>
            </w:pPr>
            <w:r>
              <w:rPr>
                <w:sz w:val="15"/>
              </w:rPr>
              <w:t>Completion, training outcomes, remediation</w:t>
            </w:r>
          </w:p>
        </w:tc>
      </w:tr>
      <w:tr>
        <w:tc>
          <w:tcPr>
            <w:tcW w:type="dxa" w:w="5083"/>
          </w:tcPr>
          <w:p>
            <w:pPr>
              <w:spacing w:after="0"/>
            </w:pPr>
            <w:r>
              <w:rPr>
                <w:sz w:val="15"/>
              </w:rPr>
              <w:t>Production</w:t>
            </w:r>
          </w:p>
        </w:tc>
        <w:tc>
          <w:tcPr>
            <w:tcW w:type="dxa" w:w="5083"/>
          </w:tcPr>
          <w:p>
            <w:pPr>
              <w:spacing w:after="0"/>
            </w:pPr>
            <w:r>
              <w:rPr>
                <w:sz w:val="15"/>
              </w:rPr>
              <w:t>Start date, quality-adjusted performance, proficiency timing</w:t>
            </w:r>
          </w:p>
        </w:tc>
      </w:tr>
      <w:tr>
        <w:tc>
          <w:tcPr>
            <w:tcW w:type="dxa" w:w="5083"/>
          </w:tcPr>
          <w:p>
            <w:pPr>
              <w:spacing w:after="0"/>
            </w:pPr>
            <w:r>
              <w:rPr>
                <w:sz w:val="15"/>
              </w:rPr>
              <w:t>Employment</w:t>
            </w:r>
          </w:p>
        </w:tc>
        <w:tc>
          <w:tcPr>
            <w:tcW w:type="dxa" w:w="5083"/>
          </w:tcPr>
          <w:p>
            <w:pPr>
              <w:spacing w:after="0"/>
            </w:pPr>
            <w:r>
              <w:rPr>
                <w:sz w:val="15"/>
              </w:rPr>
              <w:t>Day 30/60/90/6/12-month status and exit reason where available</w:t>
            </w:r>
          </w:p>
        </w:tc>
      </w:tr>
      <w:tr>
        <w:tc>
          <w:tcPr>
            <w:tcW w:type="dxa" w:w="5083"/>
          </w:tcPr>
          <w:p>
            <w:pPr>
              <w:spacing w:after="0"/>
            </w:pPr>
            <w:r>
              <w:rPr>
                <w:sz w:val="15"/>
              </w:rPr>
              <w:t>Fairness audit</w:t>
            </w:r>
          </w:p>
        </w:tc>
        <w:tc>
          <w:tcPr>
            <w:tcW w:type="dxa" w:w="5083"/>
          </w:tcPr>
          <w:p>
            <w:pPr>
              <w:spacing w:after="0"/>
            </w:pPr>
            <w:r>
              <w:rPr>
                <w:sz w:val="15"/>
              </w:rPr>
              <w:t>Legally/governance-appropriate subgroup fields separated from scoring</w:t>
            </w:r>
          </w:p>
        </w:tc>
      </w:tr>
      <w:tr>
        <w:tc>
          <w:tcPr>
            <w:tcW w:type="dxa" w:w="5083"/>
          </w:tcPr>
          <w:p>
            <w:pPr>
              <w:spacing w:after="0"/>
            </w:pPr>
            <w:r>
              <w:rPr>
                <w:sz w:val="15"/>
              </w:rPr>
              <w:t>Current process</w:t>
            </w:r>
          </w:p>
        </w:tc>
        <w:tc>
          <w:tcPr>
            <w:tcW w:type="dxa" w:w="5083"/>
          </w:tcPr>
          <w:p>
            <w:pPr>
              <w:spacing w:after="0"/>
            </w:pPr>
            <w:r>
              <w:rPr>
                <w:sz w:val="15"/>
              </w:rPr>
              <w:t>Existing selection variables needed for incremental-validity comparison</w:t>
            </w:r>
          </w:p>
        </w:tc>
      </w:tr>
    </w:tbl>
    <w:p>
      <w:pPr>
        <w:pStyle w:val="Heading1"/>
      </w:pPr>
      <w:r>
        <w:t>12. Analysis Plan</w:t>
      </w:r>
    </w:p>
    <w:p>
      <w:pPr>
        <w:pStyle w:val="ListBullet"/>
        <w:spacing w:after="20"/>
      </w:pPr>
      <w:r>
        <w:t>Predefine primary criteria and time horizons.</w:t>
      </w:r>
    </w:p>
    <w:p>
      <w:pPr>
        <w:pStyle w:val="ListBullet"/>
        <w:spacing w:after="20"/>
      </w:pPr>
      <w:r>
        <w:t>Estimate reliability where applicable and criterion-related validity with uncertainty.</w:t>
      </w:r>
    </w:p>
    <w:p>
      <w:pPr>
        <w:pStyle w:val="ListBullet"/>
        <w:spacing w:after="20"/>
      </w:pPr>
      <w:r>
        <w:t>Use holdout/cross-validation or independent replication before consequential claims.</w:t>
      </w:r>
    </w:p>
    <w:p>
      <w:pPr>
        <w:pStyle w:val="ListBullet"/>
        <w:spacing w:after="20"/>
      </w:pPr>
      <w:r>
        <w:t>Compare predictor combinations against current process and simpler alternatives.</w:t>
      </w:r>
    </w:p>
    <w:p>
      <w:pPr>
        <w:pStyle w:val="ListBullet"/>
        <w:spacing w:after="20"/>
      </w:pPr>
      <w:r>
        <w:t>Assess incremental validity and practical decision utility.</w:t>
      </w:r>
    </w:p>
    <w:p>
      <w:pPr>
        <w:pStyle w:val="ListBullet"/>
        <w:spacing w:after="20"/>
      </w:pPr>
      <w:r>
        <w:t>Model employer/job/context effects and selection range restriction appropriately.</w:t>
      </w:r>
    </w:p>
    <w:p>
      <w:pPr>
        <w:pStyle w:val="ListBullet"/>
        <w:spacing w:after="20"/>
      </w:pPr>
      <w:r>
        <w:t>Evaluate subgroup outcomes and selection rates; investigate alternative procedures where concerns arise.</w:t>
      </w:r>
    </w:p>
    <w:p>
      <w:pPr>
        <w:pStyle w:val="ListBullet"/>
        <w:spacing w:after="20"/>
      </w:pPr>
      <w:r>
        <w:t>Distinguish prediction of performance from prediction of retention.</w:t>
      </w:r>
    </w:p>
    <w:p>
      <w:pPr>
        <w:pStyle w:val="ListBullet"/>
        <w:spacing w:after="20"/>
      </w:pPr>
      <w:r>
        <w:t>Report false-positive/false-negative tradeoffs and consequences of cut scores.</w:t>
      </w:r>
    </w:p>
    <w:p>
      <w:pPr>
        <w:pStyle w:val="ListBullet"/>
        <w:spacing w:after="20"/>
      </w:pPr>
      <w:r>
        <w:t>Do not infer causality from predictive validity.</w:t>
      </w:r>
    </w:p>
    <w:p>
      <w:pPr>
        <w:pStyle w:val="Heading1"/>
      </w:pPr>
      <w:r>
        <w:t>13. Falsification Register</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4"/>
              </w:rPr>
              <w:t>ID</w:t>
            </w:r>
          </w:p>
        </w:tc>
        <w:tc>
          <w:tcPr>
            <w:tcW w:type="dxa" w:w="5083"/>
            <w:shd w:fill="0B3A53"/>
          </w:tcPr>
          <w:p>
            <w:r>
              <w:rPr>
                <w:b/>
                <w:color w:val="FFFFFF"/>
                <w:sz w:val="14"/>
              </w:rPr>
              <w:t>Condition that weakens, narrows or disproves the thesis</w:t>
            </w:r>
          </w:p>
        </w:tc>
      </w:tr>
      <w:tr>
        <w:tc>
          <w:tcPr>
            <w:tcW w:type="dxa" w:w="5083"/>
          </w:tcPr>
          <w:p>
            <w:pPr>
              <w:spacing w:after="0"/>
            </w:pPr>
            <w:r>
              <w:rPr>
                <w:sz w:val="14"/>
              </w:rPr>
              <w:t>F1</w:t>
            </w:r>
          </w:p>
        </w:tc>
        <w:tc>
          <w:tcPr>
            <w:tcW w:type="dxa" w:w="5083"/>
          </w:tcPr>
          <w:p>
            <w:pPr>
              <w:spacing w:after="0"/>
            </w:pPr>
            <w:r>
              <w:rPr>
                <w:sz w:val="14"/>
              </w:rPr>
              <w:t>Candidate measures do not predict meaningful downstream criteria.</w:t>
            </w:r>
          </w:p>
        </w:tc>
      </w:tr>
      <w:tr>
        <w:tc>
          <w:tcPr>
            <w:tcW w:type="dxa" w:w="5083"/>
          </w:tcPr>
          <w:p>
            <w:pPr>
              <w:spacing w:after="0"/>
            </w:pPr>
            <w:r>
              <w:rPr>
                <w:sz w:val="14"/>
              </w:rPr>
              <w:t>F2</w:t>
            </w:r>
          </w:p>
        </w:tc>
        <w:tc>
          <w:tcPr>
            <w:tcW w:type="dxa" w:w="5083"/>
          </w:tcPr>
          <w:p>
            <w:pPr>
              <w:spacing w:after="0"/>
            </w:pPr>
            <w:r>
              <w:rPr>
                <w:sz w:val="14"/>
              </w:rPr>
              <w:t>Predictive effects fail cross-validation or replication.</w:t>
            </w:r>
          </w:p>
        </w:tc>
      </w:tr>
      <w:tr>
        <w:tc>
          <w:tcPr>
            <w:tcW w:type="dxa" w:w="5083"/>
          </w:tcPr>
          <w:p>
            <w:pPr>
              <w:spacing w:after="0"/>
            </w:pPr>
            <w:r>
              <w:rPr>
                <w:sz w:val="14"/>
              </w:rPr>
              <w:t>F3</w:t>
            </w:r>
          </w:p>
        </w:tc>
        <w:tc>
          <w:tcPr>
            <w:tcW w:type="dxa" w:w="5083"/>
          </w:tcPr>
          <w:p>
            <w:pPr>
              <w:spacing w:after="0"/>
            </w:pPr>
            <w:r>
              <w:rPr>
                <w:sz w:val="14"/>
              </w:rPr>
              <w:t>Current structured employer methods perform as well or better at lower burden/cost.</w:t>
            </w:r>
          </w:p>
        </w:tc>
      </w:tr>
      <w:tr>
        <w:tc>
          <w:tcPr>
            <w:tcW w:type="dxa" w:w="5083"/>
          </w:tcPr>
          <w:p>
            <w:pPr>
              <w:spacing w:after="0"/>
            </w:pPr>
            <w:r>
              <w:rPr>
                <w:sz w:val="14"/>
              </w:rPr>
              <w:t>F4</w:t>
            </w:r>
          </w:p>
        </w:tc>
        <w:tc>
          <w:tcPr>
            <w:tcW w:type="dxa" w:w="5083"/>
          </w:tcPr>
          <w:p>
            <w:pPr>
              <w:spacing w:after="0"/>
            </w:pPr>
            <w:r>
              <w:rPr>
                <w:sz w:val="14"/>
              </w:rPr>
              <w:t>Prior experience predicts as well as the proposed readiness evidence, eliminating incremental value.</w:t>
            </w:r>
          </w:p>
        </w:tc>
      </w:tr>
      <w:tr>
        <w:tc>
          <w:tcPr>
            <w:tcW w:type="dxa" w:w="5083"/>
          </w:tcPr>
          <w:p>
            <w:pPr>
              <w:spacing w:after="0"/>
            </w:pPr>
            <w:r>
              <w:rPr>
                <w:sz w:val="14"/>
              </w:rPr>
              <w:t>F5</w:t>
            </w:r>
          </w:p>
        </w:tc>
        <w:tc>
          <w:tcPr>
            <w:tcW w:type="dxa" w:w="5083"/>
          </w:tcPr>
          <w:p>
            <w:pPr>
              <w:spacing w:after="0"/>
            </w:pPr>
            <w:r>
              <w:rPr>
                <w:sz w:val="14"/>
              </w:rPr>
              <w:t>Predictors mainly capture training quality, supervisor quality or employer context rather than candidate readiness.</w:t>
            </w:r>
          </w:p>
        </w:tc>
      </w:tr>
      <w:tr>
        <w:tc>
          <w:tcPr>
            <w:tcW w:type="dxa" w:w="5083"/>
          </w:tcPr>
          <w:p>
            <w:pPr>
              <w:spacing w:after="0"/>
            </w:pPr>
            <w:r>
              <w:rPr>
                <w:sz w:val="14"/>
              </w:rPr>
              <w:t>F6</w:t>
            </w:r>
          </w:p>
        </w:tc>
        <w:tc>
          <w:tcPr>
            <w:tcW w:type="dxa" w:w="5083"/>
          </w:tcPr>
          <w:p>
            <w:pPr>
              <w:spacing w:after="0"/>
            </w:pPr>
            <w:r>
              <w:rPr>
                <w:sz w:val="14"/>
              </w:rPr>
              <w:t>A proposed measure creates material adverse impact without sufficient job-related justification or a less exclusionary alternative performs similarly.</w:t>
            </w:r>
          </w:p>
        </w:tc>
      </w:tr>
      <w:tr>
        <w:tc>
          <w:tcPr>
            <w:tcW w:type="dxa" w:w="5083"/>
          </w:tcPr>
          <w:p>
            <w:pPr>
              <w:spacing w:after="0"/>
            </w:pPr>
            <w:r>
              <w:rPr>
                <w:sz w:val="14"/>
              </w:rPr>
              <w:t>F7</w:t>
            </w:r>
          </w:p>
        </w:tc>
        <w:tc>
          <w:tcPr>
            <w:tcW w:type="dxa" w:w="5083"/>
          </w:tcPr>
          <w:p>
            <w:pPr>
              <w:spacing w:after="0"/>
            </w:pPr>
            <w:r>
              <w:rPr>
                <w:sz w:val="14"/>
              </w:rPr>
              <w:t>Assessment accessibility problems systematically distort scores.</w:t>
            </w:r>
          </w:p>
        </w:tc>
      </w:tr>
      <w:tr>
        <w:tc>
          <w:tcPr>
            <w:tcW w:type="dxa" w:w="5083"/>
          </w:tcPr>
          <w:p>
            <w:pPr>
              <w:spacing w:after="0"/>
            </w:pPr>
            <w:r>
              <w:rPr>
                <w:sz w:val="14"/>
              </w:rPr>
              <w:t>F8</w:t>
            </w:r>
          </w:p>
        </w:tc>
        <w:tc>
          <w:tcPr>
            <w:tcW w:type="dxa" w:w="5083"/>
          </w:tcPr>
          <w:p>
            <w:pPr>
              <w:spacing w:after="0"/>
            </w:pPr>
            <w:r>
              <w:rPr>
                <w:sz w:val="14"/>
              </w:rPr>
              <w:t>Candidate scores predict immediate training outcomes but not production transition or quality-adjusted performance.</w:t>
            </w:r>
          </w:p>
        </w:tc>
      </w:tr>
      <w:tr>
        <w:tc>
          <w:tcPr>
            <w:tcW w:type="dxa" w:w="5083"/>
          </w:tcPr>
          <w:p>
            <w:pPr>
              <w:spacing w:after="0"/>
            </w:pPr>
            <w:r>
              <w:rPr>
                <w:sz w:val="14"/>
              </w:rPr>
              <w:t>F9</w:t>
            </w:r>
          </w:p>
        </w:tc>
        <w:tc>
          <w:tcPr>
            <w:tcW w:type="dxa" w:w="5083"/>
          </w:tcPr>
          <w:p>
            <w:pPr>
              <w:spacing w:after="0"/>
            </w:pPr>
            <w:r>
              <w:rPr>
                <w:sz w:val="14"/>
              </w:rPr>
              <w:t>Prediction varies so strongly by employer/job that a portable ResolveCX instrument is not defensible.</w:t>
            </w:r>
          </w:p>
        </w:tc>
      </w:tr>
      <w:tr>
        <w:tc>
          <w:tcPr>
            <w:tcW w:type="dxa" w:w="5083"/>
          </w:tcPr>
          <w:p>
            <w:pPr>
              <w:spacing w:after="0"/>
            </w:pPr>
            <w:r>
              <w:rPr>
                <w:sz w:val="14"/>
              </w:rPr>
              <w:t>F10</w:t>
            </w:r>
          </w:p>
        </w:tc>
        <w:tc>
          <w:tcPr>
            <w:tcW w:type="dxa" w:w="5083"/>
          </w:tcPr>
          <w:p>
            <w:pPr>
              <w:spacing w:after="0"/>
            </w:pPr>
            <w:r>
              <w:rPr>
                <w:sz w:val="14"/>
              </w:rPr>
              <w:t>Preparation/remediation produces better outcomes than exclusion, making selection use inappropriate for a construct.</w:t>
            </w:r>
          </w:p>
        </w:tc>
      </w:tr>
      <w:tr>
        <w:tc>
          <w:tcPr>
            <w:tcW w:type="dxa" w:w="5083"/>
          </w:tcPr>
          <w:p>
            <w:pPr>
              <w:spacing w:after="0"/>
            </w:pPr>
            <w:r>
              <w:rPr>
                <w:sz w:val="14"/>
              </w:rPr>
              <w:t>F11</w:t>
            </w:r>
          </w:p>
        </w:tc>
        <w:tc>
          <w:tcPr>
            <w:tcW w:type="dxa" w:w="5083"/>
          </w:tcPr>
          <w:p>
            <w:pPr>
              <w:spacing w:after="0"/>
            </w:pPr>
            <w:r>
              <w:rPr>
                <w:sz w:val="14"/>
              </w:rPr>
              <w:t>Composite scoring obscures domain differences and performs no better than transparent components.</w:t>
            </w:r>
          </w:p>
        </w:tc>
      </w:tr>
      <w:tr>
        <w:tc>
          <w:tcPr>
            <w:tcW w:type="dxa" w:w="5083"/>
          </w:tcPr>
          <w:p>
            <w:pPr>
              <w:spacing w:after="0"/>
            </w:pPr>
            <w:r>
              <w:rPr>
                <w:sz w:val="14"/>
              </w:rPr>
              <w:t>F12</w:t>
            </w:r>
          </w:p>
        </w:tc>
        <w:tc>
          <w:tcPr>
            <w:tcW w:type="dxa" w:w="5083"/>
          </w:tcPr>
          <w:p>
            <w:pPr>
              <w:spacing w:after="0"/>
            </w:pPr>
            <w:r>
              <w:rPr>
                <w:sz w:val="14"/>
              </w:rPr>
              <w:t>Manager overrides erase structured-process validity or fairness.</w:t>
            </w:r>
          </w:p>
        </w:tc>
      </w:tr>
      <w:tr>
        <w:tc>
          <w:tcPr>
            <w:tcW w:type="dxa" w:w="5083"/>
          </w:tcPr>
          <w:p>
            <w:pPr>
              <w:spacing w:after="0"/>
            </w:pPr>
            <w:r>
              <w:rPr>
                <w:sz w:val="14"/>
              </w:rPr>
              <w:t>F13</w:t>
            </w:r>
          </w:p>
        </w:tc>
        <w:tc>
          <w:tcPr>
            <w:tcW w:type="dxa" w:w="5083"/>
          </w:tcPr>
          <w:p>
            <w:pPr>
              <w:spacing w:after="0"/>
            </w:pPr>
            <w:r>
              <w:rPr>
                <w:sz w:val="14"/>
              </w:rPr>
              <w:t>Structural job conditions dominate outcomes, leaving little useful selection signal.</w:t>
            </w:r>
          </w:p>
        </w:tc>
      </w:tr>
      <w:tr>
        <w:tc>
          <w:tcPr>
            <w:tcW w:type="dxa" w:w="5083"/>
          </w:tcPr>
          <w:p>
            <w:pPr>
              <w:spacing w:after="0"/>
            </w:pPr>
            <w:r>
              <w:rPr>
                <w:sz w:val="14"/>
              </w:rPr>
              <w:t>F14</w:t>
            </w:r>
          </w:p>
        </w:tc>
        <w:tc>
          <w:tcPr>
            <w:tcW w:type="dxa" w:w="5083"/>
          </w:tcPr>
          <w:p>
            <w:pPr>
              <w:spacing w:after="0"/>
            </w:pPr>
            <w:r>
              <w:rPr>
                <w:sz w:val="14"/>
              </w:rPr>
              <w:t>Use of the assessment reduces applicant access or pathway equity without compensating job-relevant benefit.</w:t>
            </w:r>
          </w:p>
        </w:tc>
      </w:tr>
      <w:tr>
        <w:tc>
          <w:tcPr>
            <w:tcW w:type="dxa" w:w="5083"/>
          </w:tcPr>
          <w:p>
            <w:pPr>
              <w:spacing w:after="0"/>
            </w:pPr>
            <w:r>
              <w:rPr>
                <w:sz w:val="14"/>
              </w:rPr>
              <w:t>F15</w:t>
            </w:r>
          </w:p>
        </w:tc>
        <w:tc>
          <w:tcPr>
            <w:tcW w:type="dxa" w:w="5083"/>
          </w:tcPr>
          <w:p>
            <w:pPr>
              <w:spacing w:after="0"/>
            </w:pPr>
            <w:r>
              <w:rPr>
                <w:sz w:val="14"/>
              </w:rPr>
              <w:t>Economic utility is too small to justify implementation and governance costs.</w:t>
            </w:r>
          </w:p>
        </w:tc>
      </w:tr>
      <w:tr>
        <w:tc>
          <w:tcPr>
            <w:tcW w:type="dxa" w:w="5083"/>
          </w:tcPr>
          <w:p>
            <w:pPr>
              <w:spacing w:after="0"/>
            </w:pPr>
            <w:r>
              <w:rPr>
                <w:sz w:val="14"/>
              </w:rPr>
              <w:t>F16</w:t>
            </w:r>
          </w:p>
        </w:tc>
        <w:tc>
          <w:tcPr>
            <w:tcW w:type="dxa" w:w="5083"/>
          </w:tcPr>
          <w:p>
            <w:pPr>
              <w:spacing w:after="0"/>
            </w:pPr>
            <w:r>
              <w:rPr>
                <w:sz w:val="14"/>
              </w:rPr>
              <w:t>A simpler realistic job preview/self-selection intervention achieves equivalent value without testing.</w:t>
            </w:r>
          </w:p>
        </w:tc>
      </w:tr>
    </w:tbl>
    <w:p>
      <w:pPr>
        <w:pStyle w:val="Heading1"/>
      </w:pPr>
      <w:r>
        <w:t>14. Claim Ladder</w:t>
      </w:r>
    </w:p>
    <w:tbl>
      <w:tblPr>
        <w:tblStyle w:val="TableGrid"/>
        <w:tblW w:type="auto" w:w="0"/>
        <w:jc w:val="center"/>
        <w:tblLook w:firstColumn="1" w:firstRow="1" w:lastColumn="0" w:lastRow="0" w:noHBand="0" w:noVBand="1" w:val="04A0"/>
      </w:tblPr>
      <w:tblGrid>
        <w:gridCol w:w="5083"/>
        <w:gridCol w:w="5083"/>
      </w:tblGrid>
      <w:tr>
        <w:tc>
          <w:tcPr>
            <w:tcW w:type="dxa" w:w="5083"/>
            <w:shd w:fill="0B3A53"/>
          </w:tcPr>
          <w:p>
            <w:r>
              <w:rPr>
                <w:b/>
                <w:color w:val="FFFFFF"/>
                <w:sz w:val="15"/>
              </w:rPr>
              <w:t>Level</w:t>
            </w:r>
          </w:p>
        </w:tc>
        <w:tc>
          <w:tcPr>
            <w:tcW w:type="dxa" w:w="5083"/>
            <w:shd w:fill="0B3A53"/>
          </w:tcPr>
          <w:p>
            <w:r>
              <w:rPr>
                <w:b/>
                <w:color w:val="FFFFFF"/>
                <w:sz w:val="15"/>
              </w:rPr>
              <w:t>Permitted claim</w:t>
            </w:r>
          </w:p>
        </w:tc>
      </w:tr>
      <w:tr>
        <w:tc>
          <w:tcPr>
            <w:tcW w:type="dxa" w:w="5083"/>
          </w:tcPr>
          <w:p>
            <w:pPr>
              <w:spacing w:after="0"/>
            </w:pPr>
            <w:r>
              <w:rPr>
                <w:sz w:val="15"/>
              </w:rPr>
              <w:t>0 Observation</w:t>
            </w:r>
          </w:p>
        </w:tc>
        <w:tc>
          <w:tcPr>
            <w:tcW w:type="dxa" w:w="5083"/>
          </w:tcPr>
          <w:p>
            <w:pPr>
              <w:spacing w:after="0"/>
            </w:pPr>
            <w:r>
              <w:rPr>
                <w:sz w:val="15"/>
              </w:rPr>
              <w:t>A candidate characteristic appears relevant to the job.</w:t>
            </w:r>
          </w:p>
        </w:tc>
      </w:tr>
      <w:tr>
        <w:tc>
          <w:tcPr>
            <w:tcW w:type="dxa" w:w="5083"/>
          </w:tcPr>
          <w:p>
            <w:pPr>
              <w:spacing w:after="0"/>
            </w:pPr>
            <w:r>
              <w:rPr>
                <w:sz w:val="15"/>
              </w:rPr>
              <w:t>1 Measurement</w:t>
            </w:r>
          </w:p>
        </w:tc>
        <w:tc>
          <w:tcPr>
            <w:tcW w:type="dxa" w:w="5083"/>
          </w:tcPr>
          <w:p>
            <w:pPr>
              <w:spacing w:after="0"/>
            </w:pPr>
            <w:r>
              <w:rPr>
                <w:sz w:val="15"/>
              </w:rPr>
              <w:t>A measure is reliable/usable for the defined purpose.</w:t>
            </w:r>
          </w:p>
        </w:tc>
      </w:tr>
      <w:tr>
        <w:tc>
          <w:tcPr>
            <w:tcW w:type="dxa" w:w="5083"/>
          </w:tcPr>
          <w:p>
            <w:pPr>
              <w:spacing w:after="0"/>
            </w:pPr>
            <w:r>
              <w:rPr>
                <w:sz w:val="15"/>
              </w:rPr>
              <w:t>2 Association</w:t>
            </w:r>
          </w:p>
        </w:tc>
        <w:tc>
          <w:tcPr>
            <w:tcW w:type="dxa" w:w="5083"/>
          </w:tcPr>
          <w:p>
            <w:pPr>
              <w:spacing w:after="0"/>
            </w:pPr>
            <w:r>
              <w:rPr>
                <w:sz w:val="15"/>
              </w:rPr>
              <w:t>The measure is associated with a defined criterion.</w:t>
            </w:r>
          </w:p>
        </w:tc>
      </w:tr>
      <w:tr>
        <w:tc>
          <w:tcPr>
            <w:tcW w:type="dxa" w:w="5083"/>
          </w:tcPr>
          <w:p>
            <w:pPr>
              <w:spacing w:after="0"/>
            </w:pPr>
            <w:r>
              <w:rPr>
                <w:sz w:val="15"/>
              </w:rPr>
              <w:t>3 Prospective prediction</w:t>
            </w:r>
          </w:p>
        </w:tc>
        <w:tc>
          <w:tcPr>
            <w:tcW w:type="dxa" w:w="5083"/>
          </w:tcPr>
          <w:p>
            <w:pPr>
              <w:spacing w:after="0"/>
            </w:pPr>
            <w:r>
              <w:rPr>
                <w:sz w:val="15"/>
              </w:rPr>
              <w:t>The measure predicts later outcomes in a held-out/prospective cohort.</w:t>
            </w:r>
          </w:p>
        </w:tc>
      </w:tr>
      <w:tr>
        <w:tc>
          <w:tcPr>
            <w:tcW w:type="dxa" w:w="5083"/>
          </w:tcPr>
          <w:p>
            <w:pPr>
              <w:spacing w:after="0"/>
            </w:pPr>
            <w:r>
              <w:rPr>
                <w:sz w:val="15"/>
              </w:rPr>
              <w:t>4 Incremental prediction</w:t>
            </w:r>
          </w:p>
        </w:tc>
        <w:tc>
          <w:tcPr>
            <w:tcW w:type="dxa" w:w="5083"/>
          </w:tcPr>
          <w:p>
            <w:pPr>
              <w:spacing w:after="0"/>
            </w:pPr>
            <w:r>
              <w:rPr>
                <w:sz w:val="15"/>
              </w:rPr>
              <w:t>It adds value beyond current/simpler selection information.</w:t>
            </w:r>
          </w:p>
        </w:tc>
      </w:tr>
      <w:tr>
        <w:tc>
          <w:tcPr>
            <w:tcW w:type="dxa" w:w="5083"/>
          </w:tcPr>
          <w:p>
            <w:pPr>
              <w:spacing w:after="0"/>
            </w:pPr>
            <w:r>
              <w:rPr>
                <w:sz w:val="15"/>
              </w:rPr>
              <w:t>5 Fair decision utility</w:t>
            </w:r>
          </w:p>
        </w:tc>
        <w:tc>
          <w:tcPr>
            <w:tcW w:type="dxa" w:w="5083"/>
          </w:tcPr>
          <w:p>
            <w:pPr>
              <w:spacing w:after="0"/>
            </w:pPr>
            <w:r>
              <w:rPr>
                <w:sz w:val="15"/>
              </w:rPr>
              <w:t>Predictive value survives fairness/accessibility/alternative-procedure analysis.</w:t>
            </w:r>
          </w:p>
        </w:tc>
      </w:tr>
      <w:tr>
        <w:tc>
          <w:tcPr>
            <w:tcW w:type="dxa" w:w="5083"/>
          </w:tcPr>
          <w:p>
            <w:pPr>
              <w:spacing w:after="0"/>
            </w:pPr>
            <w:r>
              <w:rPr>
                <w:sz w:val="15"/>
              </w:rPr>
              <w:t>6 Replicated operational utility</w:t>
            </w:r>
          </w:p>
        </w:tc>
        <w:tc>
          <w:tcPr>
            <w:tcW w:type="dxa" w:w="5083"/>
          </w:tcPr>
          <w:p>
            <w:pPr>
              <w:spacing w:after="0"/>
            </w:pPr>
            <w:r>
              <w:rPr>
                <w:sz w:val="15"/>
              </w:rPr>
              <w:t>Results replicate and improve real selection/development decisions across settings.</w:t>
            </w:r>
          </w:p>
        </w:tc>
      </w:tr>
    </w:tbl>
    <w:p>
      <w:pPr>
        <w:pStyle w:val="Heading1"/>
      </w:pPr>
      <w:r>
        <w:t>15. ResolveCX Proof Boundary</w:t>
      </w:r>
    </w:p>
    <w:p>
      <w:r>
        <w:t>External selection research can justify methods and candidate constructs worth examining; it cannot establish that a ResolveCX assessment predicts contact-center success. No ResolveCX readiness score, cut score, credential-selection rule, or employer claim is permitted until direct validation supports its intended use. Validation for development/coaching does not automatically validate selection use.</w:t>
      </w:r>
    </w:p>
    <w:p>
      <w:pPr>
        <w:pStyle w:val="Heading1"/>
      </w:pPr>
      <w:r>
        <w:t>16. Initial Evidence Registry</w:t>
      </w:r>
    </w:p>
    <w:tbl>
      <w:tblPr>
        <w:tblStyle w:val="TableGrid"/>
        <w:tblW w:type="auto" w:w="0"/>
        <w:jc w:val="center"/>
        <w:tblLook w:firstColumn="1" w:firstRow="1" w:lastColumn="0" w:lastRow="0" w:noHBand="0" w:noVBand="1" w:val="04A0"/>
      </w:tblPr>
      <w:tblGrid>
        <w:gridCol w:w="3389"/>
        <w:gridCol w:w="3389"/>
        <w:gridCol w:w="3389"/>
      </w:tblGrid>
      <w:tr>
        <w:tc>
          <w:tcPr>
            <w:tcW w:type="dxa" w:w="3389"/>
            <w:shd w:fill="0B3A53"/>
          </w:tcPr>
          <w:p>
            <w:r>
              <w:rPr>
                <w:b/>
                <w:color w:val="FFFFFF"/>
                <w:sz w:val="14"/>
              </w:rPr>
              <w:t>Source</w:t>
            </w:r>
          </w:p>
        </w:tc>
        <w:tc>
          <w:tcPr>
            <w:tcW w:type="dxa" w:w="3389"/>
            <w:shd w:fill="0B3A53"/>
          </w:tcPr>
          <w:p>
            <w:r>
              <w:rPr>
                <w:b/>
                <w:color w:val="FFFFFF"/>
                <w:sz w:val="14"/>
              </w:rPr>
              <w:t>Contribution</w:t>
            </w:r>
          </w:p>
        </w:tc>
        <w:tc>
          <w:tcPr>
            <w:tcW w:type="dxa" w:w="3389"/>
            <w:shd w:fill="0B3A53"/>
          </w:tcPr>
          <w:p>
            <w:r>
              <w:rPr>
                <w:b/>
                <w:color w:val="FFFFFF"/>
                <w:sz w:val="14"/>
              </w:rPr>
              <w:t>Boundary</w:t>
            </w:r>
          </w:p>
        </w:tc>
      </w:tr>
      <w:tr>
        <w:tc>
          <w:tcPr>
            <w:tcW w:type="dxa" w:w="3389"/>
          </w:tcPr>
          <w:p>
            <w:pPr>
              <w:spacing w:after="0"/>
            </w:pPr>
            <w:r>
              <w:rPr>
                <w:sz w:val="14"/>
              </w:rPr>
              <w:t>EEOC, Employment Tests and Selection Procedures</w:t>
            </w:r>
          </w:p>
        </w:tc>
        <w:tc>
          <w:tcPr>
            <w:tcW w:type="dxa" w:w="3389"/>
          </w:tcPr>
          <w:p>
            <w:pPr>
              <w:spacing w:after="0"/>
            </w:pPr>
            <w:r>
              <w:rPr>
                <w:sz w:val="14"/>
              </w:rPr>
              <w:t>Job-relatedness, validation, adverse-impact and alternative-procedure safeguards.</w:t>
            </w:r>
          </w:p>
        </w:tc>
        <w:tc>
          <w:tcPr>
            <w:tcW w:type="dxa" w:w="3389"/>
          </w:tcPr>
          <w:p>
            <w:pPr>
              <w:spacing w:after="0"/>
            </w:pPr>
            <w:r>
              <w:rPr>
                <w:sz w:val="14"/>
              </w:rPr>
              <w:t>Technical assistance; operational use requires applicable legal review.</w:t>
            </w:r>
          </w:p>
        </w:tc>
      </w:tr>
      <w:tr>
        <w:tc>
          <w:tcPr>
            <w:tcW w:type="dxa" w:w="3389"/>
          </w:tcPr>
          <w:p>
            <w:pPr>
              <w:spacing w:after="0"/>
            </w:pPr>
            <w:r>
              <w:rPr>
                <w:sz w:val="14"/>
              </w:rPr>
              <w:t>Uniform Guidelines Q&amp;A / 29 CFR Part 1607</w:t>
            </w:r>
          </w:p>
        </w:tc>
        <w:tc>
          <w:tcPr>
            <w:tcW w:type="dxa" w:w="3389"/>
          </w:tcPr>
          <w:p>
            <w:pPr>
              <w:spacing w:after="0"/>
            </w:pPr>
            <w:r>
              <w:rPr>
                <w:sz w:val="14"/>
              </w:rPr>
              <w:t>Criterion/content/construct validation and total-selection-process principles.</w:t>
            </w:r>
          </w:p>
        </w:tc>
        <w:tc>
          <w:tcPr>
            <w:tcW w:type="dxa" w:w="3389"/>
          </w:tcPr>
          <w:p>
            <w:pPr>
              <w:spacing w:after="0"/>
            </w:pPr>
            <w:r>
              <w:rPr>
                <w:sz w:val="14"/>
              </w:rPr>
              <w:t>Federal framework; does not validate ResolveCX measures.</w:t>
            </w:r>
          </w:p>
        </w:tc>
      </w:tr>
      <w:tr>
        <w:tc>
          <w:tcPr>
            <w:tcW w:type="dxa" w:w="3389"/>
          </w:tcPr>
          <w:p>
            <w:pPr>
              <w:spacing w:after="0"/>
            </w:pPr>
            <w:r>
              <w:rPr>
                <w:sz w:val="14"/>
              </w:rPr>
              <w:t>SIOP, Principles for Validation and Use of Personnel Selection Procedures, 5th ed. (2018)</w:t>
            </w:r>
          </w:p>
        </w:tc>
        <w:tc>
          <w:tcPr>
            <w:tcW w:type="dxa" w:w="3389"/>
          </w:tcPr>
          <w:p>
            <w:pPr>
              <w:spacing w:after="0"/>
            </w:pPr>
            <w:r>
              <w:rPr>
                <w:sz w:val="14"/>
              </w:rPr>
              <w:t>Professional validation framework aligned with testing standards.</w:t>
            </w:r>
          </w:p>
        </w:tc>
        <w:tc>
          <w:tcPr>
            <w:tcW w:type="dxa" w:w="3389"/>
          </w:tcPr>
          <w:p>
            <w:pPr>
              <w:spacing w:after="0"/>
            </w:pPr>
            <w:r>
              <w:rPr>
                <w:sz w:val="14"/>
              </w:rPr>
              <w:t>Method standard, not contact-center evidence.</w:t>
            </w:r>
          </w:p>
        </w:tc>
      </w:tr>
      <w:tr>
        <w:tc>
          <w:tcPr>
            <w:tcW w:type="dxa" w:w="3389"/>
          </w:tcPr>
          <w:p>
            <w:pPr>
              <w:spacing w:after="0"/>
            </w:pPr>
            <w:r>
              <w:rPr>
                <w:sz w:val="14"/>
              </w:rPr>
              <w:t>Sackett, Zhang, Berry &amp; Lievens (2022), Journal of Applied Psychology</w:t>
            </w:r>
          </w:p>
        </w:tc>
        <w:tc>
          <w:tcPr>
            <w:tcW w:type="dxa" w:w="3389"/>
          </w:tcPr>
          <w:p>
            <w:pPr>
              <w:spacing w:after="0"/>
            </w:pPr>
            <w:r>
              <w:rPr>
                <w:sz w:val="14"/>
              </w:rPr>
              <w:t>Revisits meta-analytic validity estimates and cautions against overstated corrected validities.</w:t>
            </w:r>
          </w:p>
        </w:tc>
        <w:tc>
          <w:tcPr>
            <w:tcW w:type="dxa" w:w="3389"/>
          </w:tcPr>
          <w:p>
            <w:pPr>
              <w:spacing w:after="0"/>
            </w:pPr>
            <w:r>
              <w:rPr>
                <w:sz w:val="14"/>
              </w:rPr>
              <w:t>General selection evidence.</w:t>
            </w:r>
          </w:p>
        </w:tc>
      </w:tr>
      <w:tr>
        <w:tc>
          <w:tcPr>
            <w:tcW w:type="dxa" w:w="3389"/>
          </w:tcPr>
          <w:p>
            <w:pPr>
              <w:spacing w:after="0"/>
            </w:pPr>
            <w:r>
              <w:rPr>
                <w:sz w:val="14"/>
              </w:rPr>
              <w:t>Van Iddekinge et al. (2019), Personnel Psychology</w:t>
            </w:r>
          </w:p>
        </w:tc>
        <w:tc>
          <w:tcPr>
            <w:tcW w:type="dxa" w:w="3389"/>
          </w:tcPr>
          <w:p>
            <w:pPr>
              <w:spacing w:after="0"/>
            </w:pPr>
            <w:r>
              <w:rPr>
                <w:sz w:val="14"/>
              </w:rPr>
              <w:t>81 samples: prehire experience weakly predicted job/training performance and not turnover overall.</w:t>
            </w:r>
          </w:p>
        </w:tc>
        <w:tc>
          <w:tcPr>
            <w:tcW w:type="dxa" w:w="3389"/>
          </w:tcPr>
          <w:p>
            <w:pPr>
              <w:spacing w:after="0"/>
            </w:pPr>
            <w:r>
              <w:rPr>
                <w:sz w:val="14"/>
              </w:rPr>
              <w:t>Not contact-center-specific.</w:t>
            </w:r>
          </w:p>
        </w:tc>
      </w:tr>
      <w:tr>
        <w:tc>
          <w:tcPr>
            <w:tcW w:type="dxa" w:w="3389"/>
          </w:tcPr>
          <w:p>
            <w:pPr>
              <w:spacing w:after="0"/>
            </w:pPr>
            <w:r>
              <w:rPr>
                <w:sz w:val="14"/>
              </w:rPr>
              <w:t>Van Iddekinge et al. (2011), Journal of Applied Psychology</w:t>
            </w:r>
          </w:p>
        </w:tc>
        <w:tc>
          <w:tcPr>
            <w:tcW w:type="dxa" w:w="3389"/>
          </w:tcPr>
          <w:p>
            <w:pPr>
              <w:spacing w:after="0"/>
            </w:pPr>
            <w:r>
              <w:rPr>
                <w:sz w:val="14"/>
              </w:rPr>
              <w:t>Vocational interests show criterion-specific relationships with performance/training/turnover.</w:t>
            </w:r>
          </w:p>
        </w:tc>
        <w:tc>
          <w:tcPr>
            <w:tcW w:type="dxa" w:w="3389"/>
          </w:tcPr>
          <w:p>
            <w:pPr>
              <w:spacing w:after="0"/>
            </w:pPr>
            <w:r>
              <w:rPr>
                <w:sz w:val="14"/>
              </w:rPr>
              <w:t>Does not justify using interests as a standalone screen.</w:t>
            </w:r>
          </w:p>
        </w:tc>
      </w:tr>
      <w:tr>
        <w:tc>
          <w:tcPr>
            <w:tcW w:type="dxa" w:w="3389"/>
          </w:tcPr>
          <w:p>
            <w:pPr>
              <w:spacing w:after="0"/>
            </w:pPr>
            <w:r>
              <w:rPr>
                <w:sz w:val="14"/>
              </w:rPr>
              <w:t>Van Iddekinge et al. (2012), Journal of Applied Psychology</w:t>
            </w:r>
          </w:p>
        </w:tc>
        <w:tc>
          <w:tcPr>
            <w:tcW w:type="dxa" w:w="3389"/>
          </w:tcPr>
          <w:p>
            <w:pPr>
              <w:spacing w:after="0"/>
            </w:pPr>
            <w:r>
              <w:rPr>
                <w:sz w:val="14"/>
              </w:rPr>
              <w:t>Integrity-test meta-analysis illustrates modest, criterion-dependent validity and source/method concerns.</w:t>
            </w:r>
          </w:p>
        </w:tc>
        <w:tc>
          <w:tcPr>
            <w:tcW w:type="dxa" w:w="3389"/>
          </w:tcPr>
          <w:p>
            <w:pPr>
              <w:spacing w:after="0"/>
            </w:pPr>
            <w:r>
              <w:rPr>
                <w:sz w:val="14"/>
              </w:rPr>
              <w:t>No endorsement of an integrity test for ResolveCX.</w:t>
            </w:r>
          </w:p>
        </w:tc>
      </w:tr>
    </w:tbl>
    <w:p>
      <w:pPr>
        <w:pStyle w:val="Heading1"/>
      </w:pPr>
      <w:r>
        <w:t>17. Research Quality and Release Standards</w:t>
      </w:r>
    </w:p>
    <w:p>
      <w:pPr>
        <w:pStyle w:val="ListBullet"/>
        <w:spacing w:after="20"/>
      </w:pPr>
      <w:r>
        <w:t>Job analysis before consequential assessment design.</w:t>
      </w:r>
    </w:p>
    <w:p>
      <w:pPr>
        <w:pStyle w:val="ListBullet"/>
        <w:spacing w:after="20"/>
      </w:pPr>
      <w:r>
        <w:t>Criterion-specific claims only.</w:t>
      </w:r>
    </w:p>
    <w:p>
      <w:pPr>
        <w:pStyle w:val="ListBullet"/>
        <w:spacing w:after="20"/>
      </w:pPr>
      <w:r>
        <w:t>No proprietary composite before validation.</w:t>
      </w:r>
    </w:p>
    <w:p>
      <w:pPr>
        <w:pStyle w:val="ListBullet"/>
        <w:spacing w:after="20"/>
      </w:pPr>
      <w:r>
        <w:t>No cut score from exploratory samples.</w:t>
      </w:r>
    </w:p>
    <w:p>
      <w:pPr>
        <w:pStyle w:val="ListBullet"/>
        <w:spacing w:after="20"/>
      </w:pPr>
      <w:r>
        <w:t>Cross-validation/replication before operational claims.</w:t>
      </w:r>
    </w:p>
    <w:p>
      <w:pPr>
        <w:pStyle w:val="ListBullet"/>
        <w:spacing w:after="20"/>
      </w:pPr>
      <w:r>
        <w:t>Fairness and accessibility evaluated with validity, not after it.</w:t>
      </w:r>
    </w:p>
    <w:p>
      <w:pPr>
        <w:pStyle w:val="ListBullet"/>
        <w:spacing w:after="20"/>
      </w:pPr>
      <w:r>
        <w:t>Prefer development/preparation over exclusion when evidence supports it.</w:t>
      </w:r>
    </w:p>
    <w:p>
      <w:pPr>
        <w:pStyle w:val="ListBullet"/>
        <w:spacing w:after="20"/>
      </w:pPr>
      <w:r>
        <w:t>Compare against current process and simpler alternatives.</w:t>
      </w:r>
    </w:p>
    <w:p>
      <w:pPr>
        <w:pStyle w:val="ListBullet"/>
        <w:spacing w:after="20"/>
      </w:pPr>
      <w:r>
        <w:t>Preserve structural explanations and #010 work-design effects.</w:t>
      </w:r>
    </w:p>
    <w:p>
      <w:pPr>
        <w:pStyle w:val="ListBullet"/>
        <w:spacing w:after="20"/>
      </w:pPr>
      <w:r>
        <w:t>Direct ResolveCX validation required before effectiveness or economic claims.</w:t>
      </w:r>
    </w:p>
    <w:p>
      <w:pPr>
        <w:pStyle w:val="Heading1"/>
      </w:pPr>
      <w:r>
        <w:t>18. Immediate Implementation Sequence</w:t>
      </w:r>
    </w:p>
    <w:p>
      <w:pPr>
        <w:pStyle w:val="ListNumber"/>
        <w:spacing w:after="20"/>
      </w:pPr>
      <w:r>
        <w:t>Add Study #009 hypotheses and evidence anchors to the Master Evidence Registry.</w:t>
      </w:r>
    </w:p>
    <w:p>
      <w:pPr>
        <w:pStyle w:val="ListNumber"/>
        <w:spacing w:after="20"/>
      </w:pPr>
      <w:r>
        <w:t>Complete job-analysis evidence review across representative contact-center roles/channels.</w:t>
      </w:r>
    </w:p>
    <w:p>
      <w:pPr>
        <w:pStyle w:val="ListNumber"/>
        <w:spacing w:after="20"/>
      </w:pPr>
      <w:r>
        <w:t>Map existing validated selection constructs/methods before developing anything proprietary.</w:t>
      </w:r>
    </w:p>
    <w:p>
      <w:pPr>
        <w:pStyle w:val="ListNumber"/>
        <w:spacing w:after="20"/>
      </w:pPr>
      <w:r>
        <w:t>Define primary criteria using #001 and employer operational data.</w:t>
      </w:r>
    </w:p>
    <w:p>
      <w:pPr>
        <w:pStyle w:val="ListNumber"/>
        <w:spacing w:after="20"/>
      </w:pPr>
      <w:r>
        <w:t>Create a Candidate Construct Dictionary without a composite score.</w:t>
      </w:r>
    </w:p>
    <w:p>
      <w:pPr>
        <w:pStyle w:val="ListNumber"/>
        <w:spacing w:after="20"/>
      </w:pPr>
      <w:r>
        <w:t>Design realistic job preview/self-selection evidence as a non-exclusionary comparator.</w:t>
      </w:r>
    </w:p>
    <w:p>
      <w:pPr>
        <w:pStyle w:val="ListNumber"/>
        <w:spacing w:after="20"/>
      </w:pPr>
      <w:r>
        <w:t>If a new work sample is justified, cognitively/usability test it before predictive research.</w:t>
      </w:r>
    </w:p>
    <w:p>
      <w:pPr>
        <w:pStyle w:val="ListNumber"/>
        <w:spacing w:after="20"/>
      </w:pPr>
      <w:r>
        <w:t>Secure employer cohort data for prospective validation and fairness monitoring.</w:t>
      </w:r>
    </w:p>
    <w:p>
      <w:pPr>
        <w:pStyle w:val="ListNumber"/>
        <w:spacing w:after="20"/>
      </w:pPr>
      <w:r>
        <w:t>Cross-validate before any cut-score or selection-use proposal.</w:t>
      </w:r>
    </w:p>
    <w:p>
      <w:pPr>
        <w:pStyle w:val="ListNumber"/>
        <w:spacing w:after="20"/>
      </w:pPr>
      <w:r>
        <w:t>Feed validated incremental effects into #008 only after selection utility is demonstrated.</w:t>
      </w:r>
    </w:p>
    <w:p>
      <w:pPr>
        <w:pStyle w:val="Heading1"/>
      </w:pPr>
      <w:r>
        <w:t>Final Selection-Utility Amendment — v1.1</w:t>
      </w:r>
    </w:p>
    <w:p>
      <w:r>
        <w:t>This amendment strengthens Study #009 by requiring the research to evaluate not only whether pre-employment measures predict outcomes, but also the consequences of using those measures for exclusion versus development. It supersedes any interpretation that predictive validity alone would justify a hiring gate.</w:t>
      </w:r>
    </w:p>
    <w:p>
      <w:pPr>
        <w:pStyle w:val="Heading2"/>
      </w:pPr>
      <w:r>
        <w:t>H13 — Developmental Utility May Exceed Selection Utility</w:t>
      </w:r>
    </w:p>
    <w:p>
      <w:r>
        <w:t>A readiness assessment may create greater net value when used to identify individualized preparation needs, pathway supports, or role-fit guidance than when used to exclude candidates from employment. Study #009 will therefore compare the predictive, developmental, fairness, and economic consequences of selection use versus developmental use rather than assuming the same instrument should serve both purposes.</w:t>
      </w:r>
    </w:p>
    <w:p>
      <w:pPr>
        <w:pStyle w:val="Heading2"/>
      </w:pPr>
      <w:r>
        <w:t>Candidate Consequence / False-Decision Framework</w:t>
      </w:r>
    </w:p>
    <w:p>
      <w:pPr>
        <w:pStyle w:val="ListBullet"/>
      </w:pPr>
      <w:r>
        <w:t>False negative: a candidate classified as not ready who would likely have succeeded with ordinary or targeted support.</w:t>
      </w:r>
    </w:p>
    <w:p>
      <w:pPr>
        <w:pStyle w:val="ListBullet"/>
      </w:pPr>
      <w:r>
        <w:t>False positive: a candidate classified as ready who later struggles, exits, or fails to meet defined outcomes.</w:t>
      </w:r>
    </w:p>
    <w:p>
      <w:pPr>
        <w:pStyle w:val="ListBullet"/>
      </w:pPr>
      <w:r>
        <w:t>Differential error: false-negative or false-positive rates that differ materially across relevant groups or accessibility conditions.</w:t>
      </w:r>
    </w:p>
    <w:p>
      <w:pPr>
        <w:pStyle w:val="ListBullet"/>
      </w:pPr>
      <w:r>
        <w:t>Opportunity cost: capable people may be unnecessarily excluded from employment or pathways because of an imperfect assessment.</w:t>
      </w:r>
    </w:p>
    <w:p>
      <w:pPr>
        <w:pStyle w:val="ListBullet"/>
      </w:pPr>
      <w:r>
        <w:t>Support cost: a developmental classification may require targeted preparation, but may preserve opportunity while improving fit.</w:t>
      </w:r>
    </w:p>
    <w:p>
      <w:pPr>
        <w:pStyle w:val="Heading2"/>
      </w:pPr>
      <w:r>
        <w:t>Selection vs. Development Decision Rule</w:t>
      </w:r>
    </w:p>
    <w:p>
      <w:r>
        <w:t>No ResolveCX readiness measure should be recommended as an exclusionary hiring screen unless it demonstrates job-related validity, reliability, incremental predictive value, acceptable fairness and accessibility, acceptable false-decision consequences, and meaningful decision utility relative to less restrictive alternatives. If developmental use produces comparable or greater value with fewer exclusionary harms, developmental use should be preferred.</w:t>
      </w:r>
    </w:p>
    <w:p>
      <w:pPr>
        <w:pStyle w:val="Heading2"/>
      </w:pPr>
      <w:r>
        <w:t>Additional Falsification Conditions</w:t>
      </w:r>
    </w:p>
    <w:p>
      <w:pPr>
        <w:pStyle w:val="ListBullet"/>
      </w:pPr>
      <w:r>
        <w:t>F17 — The assessment predicts outcomes but produces too many false negatives to justify exclusionary use.</w:t>
      </w:r>
    </w:p>
    <w:p>
      <w:pPr>
        <w:pStyle w:val="ListBullet"/>
      </w:pPr>
      <w:r>
        <w:t>F18 — Developmental use performs as well as or better than exclusionary use while preserving access to opportunity.</w:t>
      </w:r>
    </w:p>
    <w:p>
      <w:pPr>
        <w:pStyle w:val="ListBullet"/>
      </w:pPr>
      <w:r>
        <w:t>F19 — Differential prediction or materially unequal error rates remain after reasonable redesign, accommodation, or alternative procedures.</w:t>
      </w:r>
    </w:p>
    <w:p>
      <w:pPr>
        <w:pStyle w:val="ListBullet"/>
      </w:pPr>
      <w:r>
        <w:t>F20 — Existing structured hiring or work-sample methods provide equivalent predictive value with lower cost or lower adverse impact.</w:t>
      </w:r>
    </w:p>
    <w:p>
      <w:pPr>
        <w:pStyle w:val="Heading2"/>
      </w:pPr>
      <w:r>
        <w:t>Analysis and Release Additions</w:t>
      </w:r>
    </w:p>
    <w:p>
      <w:pPr>
        <w:pStyle w:val="ListBullet"/>
      </w:pPr>
      <w:r>
        <w:t>Report sensitivity, specificity or equivalent decision-classification measures when a cutoff is evaluated.</w:t>
      </w:r>
    </w:p>
    <w:p>
      <w:pPr>
        <w:pStyle w:val="ListBullet"/>
      </w:pPr>
      <w:r>
        <w:t>Report false-positive and false-negative consequences separately; do not collapse them into a single accuracy statistic.</w:t>
      </w:r>
    </w:p>
    <w:p>
      <w:pPr>
        <w:pStyle w:val="ListBullet"/>
      </w:pPr>
      <w:r>
        <w:t>Compare selection, developmental-placement, and no-assessment strategies where the data permit.</w:t>
      </w:r>
    </w:p>
    <w:p>
      <w:pPr>
        <w:pStyle w:val="ListBullet"/>
      </w:pPr>
      <w:r>
        <w:t>Treat subgroup fairness, accessibility, and differential prediction as core validity evidence rather than post-hoc checks.</w:t>
      </w:r>
    </w:p>
    <w:p>
      <w:pPr>
        <w:pStyle w:val="ListBullet"/>
      </w:pPr>
      <w:r>
        <w:t>Do not release a proprietary readiness score or hiring cutoff before cross-validation and decision-utility evidence support it.</w:t>
      </w:r>
    </w:p>
    <w:p>
      <w:pPr>
        <w:pStyle w:val="Heading1"/>
      </w:pPr>
      <w:r>
        <w:t>19. Protocol Decision</w:t>
      </w:r>
    </w:p>
    <w:p>
      <w:r>
        <w:t>Study #009 v1.1 is approved for introduction as Ongoing Research and is ready to freeze. The protocol now requires ResolveCX to test whether readiness assessment is most defensible and useful as a selection tool, a developmental tool, a pathway-placement tool, or not useful enough to justify implementation. Predictive validity alone is insufficient; fairness, accessibility, false-decision consequences, incremental value, and less restrictive alternatives must also support any selection use.</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Research Protocol v1.1  •  Ongoing Research  •  Evidence-First Design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sz w:val="17"/>
      </w:rPr>
      <w:t>ResolveCX Research Series  |  Study #009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B3A5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0678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