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678E"/>
          <w:sz w:val="24"/>
        </w:rPr>
        <w:t>ResolveCX Research Series</w:t>
      </w:r>
    </w:p>
    <w:p>
      <w:pPr>
        <w:pStyle w:val="Title"/>
        <w:jc w:val="center"/>
      </w:pPr>
      <w:r>
        <w:t>Study #010: The Work Design &amp; Sustainability Study</w:t>
      </w:r>
    </w:p>
    <w:p>
      <w:pPr>
        <w:jc w:val="center"/>
      </w:pPr>
      <w:r>
        <w:rPr>
          <w:i/>
          <w:sz w:val="26"/>
        </w:rPr>
        <w:t>Are we preparing people for sustainable work—or asking people to compensate for a poorly designed operating system?</w:t>
      </w:r>
    </w:p>
    <w:p>
      <w:pPr>
        <w:jc w:val="center"/>
      </w:pPr>
      <w:r>
        <w:rPr>
          <w:b/>
          <w:color w:val="B77311"/>
        </w:rPr>
        <w:t>Research Status: Ongoing</w:t>
      </w:r>
    </w:p>
    <w:p>
      <w:r>
        <w:t>Study #010 examines the job and operating system itself. It tests whether workload, autonomy, monitoring, schedule quality, emotional demands, recovery, staffing, technology and management practices create conditions in which frontline performance can be sustained. It is designed to prevent ResolveCX from treating structural work problems as deficits in employee resilience or readiness.</w:t>
      </w:r>
    </w:p>
    <w:p>
      <w:pPr>
        <w:pStyle w:val="Heading1"/>
      </w:pPr>
      <w:r>
        <w:t>1. Research Integrity Statement</w:t>
      </w:r>
    </w:p>
    <w:p>
      <w:r>
        <w:t>ResolveCX will not assume that burnout, withdrawal, errors or turnover primarily reflect inadequate employee resilience. Individual capability, leadership, work design, staffing, compensation, customer demand, technology and labor-market conditions must be treated as competing and interacting explanations. If structural conditions dominate outcomes, the appropriate intervention may be redesign—not more training.</w:t>
      </w:r>
    </w:p>
    <w:p>
      <w:pPr>
        <w:pStyle w:val="Heading1"/>
      </w:pPr>
      <w:r>
        <w:t>2. Central Research Question</w:t>
      </w:r>
    </w:p>
    <w:p>
      <w:r>
        <w:rPr>
          <w:b/>
        </w:rPr>
        <w:t>Among frontline contact-center employees, which characteristics of work design and operating conditions predict sustainable quality-adjusted performance, well-being, customer outcomes and retention—and at what point do workload, monitoring, schedule rigidity, emotional demand, insufficient recovery or other structural conditions overwhelm the benefits of individual readiness, training or leadership?</w:t>
      </w:r>
    </w:p>
    <w:p>
      <w:r>
        <w:t>Secondary questions address which work-design factors are modifiable, whether effects differ by channel/remote status/job complexity, when monitoring supports learning versus control, whether recovery and schedule quality matter independently, and whether the same work design can produce productivity gains while degrading worker or customer outcomes.</w:t>
      </w:r>
    </w:p>
    <w:p>
      <w:pPr>
        <w:pStyle w:val="Heading1"/>
      </w:pPr>
      <w:r>
        <w:t>3. Relationship to the Research Portfolio</w:t>
      </w:r>
    </w:p>
    <w:tbl>
      <w:tblPr>
        <w:tblStyle w:val="TableGrid"/>
        <w:tblW w:type="auto" w:w="0"/>
        <w:jc w:val="center"/>
        <w:tblLook w:firstColumn="1" w:firstRow="1" w:lastColumn="0" w:lastRow="0" w:noHBand="0" w:noVBand="1" w:val="04A0"/>
      </w:tblPr>
      <w:tblGrid>
        <w:gridCol w:w="5083"/>
        <w:gridCol w:w="5083"/>
      </w:tblGrid>
      <w:tr>
        <w:tc>
          <w:tcPr>
            <w:tcW w:type="dxa" w:w="5083"/>
            <w:shd w:fill="0B3A53"/>
          </w:tcPr>
          <w:p>
            <w:r>
              <w:rPr>
                <w:b/>
                <w:color w:val="FFFFFF"/>
                <w:sz w:val="15"/>
              </w:rPr>
              <w:t>Study</w:t>
            </w:r>
          </w:p>
        </w:tc>
        <w:tc>
          <w:tcPr>
            <w:tcW w:type="dxa" w:w="5083"/>
            <w:shd w:fill="0B3A53"/>
          </w:tcPr>
          <w:p>
            <w:r>
              <w:rPr>
                <w:b/>
                <w:color w:val="FFFFFF"/>
                <w:sz w:val="15"/>
              </w:rPr>
              <w:t>Dependency / distinction</w:t>
            </w:r>
          </w:p>
        </w:tc>
      </w:tr>
      <w:tr>
        <w:tc>
          <w:tcPr>
            <w:tcW w:type="dxa" w:w="5083"/>
          </w:tcPr>
          <w:p>
            <w:pPr>
              <w:spacing w:after="0"/>
            </w:pPr>
            <w:r>
              <w:rPr>
                <w:sz w:val="15"/>
              </w:rPr>
              <w:t>#001 New-Hire Survival</w:t>
            </w:r>
          </w:p>
        </w:tc>
        <w:tc>
          <w:tcPr>
            <w:tcW w:type="dxa" w:w="5083"/>
          </w:tcPr>
          <w:p>
            <w:pPr>
              <w:spacing w:after="0"/>
            </w:pPr>
            <w:r>
              <w:rPr>
                <w:sz w:val="15"/>
              </w:rPr>
              <w:t>Work design may explain survival beyond pre-hire readiness.</w:t>
            </w:r>
          </w:p>
        </w:tc>
      </w:tr>
      <w:tr>
        <w:tc>
          <w:tcPr>
            <w:tcW w:type="dxa" w:w="5083"/>
          </w:tcPr>
          <w:p>
            <w:pPr>
              <w:spacing w:after="0"/>
            </w:pPr>
            <w:r>
              <w:rPr>
                <w:sz w:val="15"/>
              </w:rPr>
              <w:t>#002 Job Reality Gap</w:t>
            </w:r>
          </w:p>
        </w:tc>
        <w:tc>
          <w:tcPr>
            <w:tcW w:type="dxa" w:w="5083"/>
          </w:tcPr>
          <w:p>
            <w:pPr>
              <w:spacing w:after="0"/>
            </w:pPr>
            <w:r>
              <w:rPr>
                <w:sz w:val="15"/>
              </w:rPr>
              <w:t>Actual work design is the reality against which expectations are compared.</w:t>
            </w:r>
          </w:p>
        </w:tc>
      </w:tr>
      <w:tr>
        <w:tc>
          <w:tcPr>
            <w:tcW w:type="dxa" w:w="5083"/>
          </w:tcPr>
          <w:p>
            <w:pPr>
              <w:spacing w:after="0"/>
            </w:pPr>
            <w:r>
              <w:rPr>
                <w:sz w:val="15"/>
              </w:rPr>
              <w:t>#003 KPI &amp; Business Literacy</w:t>
            </w:r>
          </w:p>
        </w:tc>
        <w:tc>
          <w:tcPr>
            <w:tcW w:type="dxa" w:w="5083"/>
          </w:tcPr>
          <w:p>
            <w:pPr>
              <w:spacing w:after="0"/>
            </w:pPr>
            <w:r>
              <w:rPr>
                <w:sz w:val="15"/>
              </w:rPr>
              <w:t>Understanding metrics cannot repair harmful metric architecture.</w:t>
            </w:r>
          </w:p>
        </w:tc>
      </w:tr>
      <w:tr>
        <w:tc>
          <w:tcPr>
            <w:tcW w:type="dxa" w:w="5083"/>
          </w:tcPr>
          <w:p>
            <w:pPr>
              <w:spacing w:after="0"/>
            </w:pPr>
            <w:r>
              <w:rPr>
                <w:sz w:val="15"/>
              </w:rPr>
              <w:t>#004 Supervisor Effect</w:t>
            </w:r>
          </w:p>
        </w:tc>
        <w:tc>
          <w:tcPr>
            <w:tcW w:type="dxa" w:w="5083"/>
          </w:tcPr>
          <w:p>
            <w:pPr>
              <w:spacing w:after="0"/>
            </w:pPr>
            <w:r>
              <w:rPr>
                <w:sz w:val="15"/>
              </w:rPr>
              <w:t>Separates supervisor influence from structural constraints on supervisors/agents.</w:t>
            </w:r>
          </w:p>
        </w:tc>
      </w:tr>
      <w:tr>
        <w:tc>
          <w:tcPr>
            <w:tcW w:type="dxa" w:w="5083"/>
          </w:tcPr>
          <w:p>
            <w:pPr>
              <w:spacing w:after="0"/>
            </w:pPr>
            <w:r>
              <w:rPr>
                <w:sz w:val="15"/>
              </w:rPr>
              <w:t>#005 Change Readiness</w:t>
            </w:r>
          </w:p>
        </w:tc>
        <w:tc>
          <w:tcPr>
            <w:tcW w:type="dxa" w:w="5083"/>
          </w:tcPr>
          <w:p>
            <w:pPr>
              <w:spacing w:after="0"/>
            </w:pPr>
            <w:r>
              <w:rPr>
                <w:sz w:val="15"/>
              </w:rPr>
              <w:t>Distinguishes change load/capacity from persistent job demands.</w:t>
            </w:r>
          </w:p>
        </w:tc>
      </w:tr>
      <w:tr>
        <w:tc>
          <w:tcPr>
            <w:tcW w:type="dxa" w:w="5083"/>
          </w:tcPr>
          <w:p>
            <w:pPr>
              <w:spacing w:after="0"/>
            </w:pPr>
            <w:r>
              <w:rPr>
                <w:sz w:val="15"/>
              </w:rPr>
              <w:t>#007 AI + Human Readiness</w:t>
            </w:r>
          </w:p>
        </w:tc>
        <w:tc>
          <w:tcPr>
            <w:tcW w:type="dxa" w:w="5083"/>
          </w:tcPr>
          <w:p>
            <w:pPr>
              <w:spacing w:after="0"/>
            </w:pPr>
            <w:r>
              <w:rPr>
                <w:sz w:val="15"/>
              </w:rPr>
              <w:t>AI can reduce burden or intensify work/monitoring; #010 tests work-system consequences.</w:t>
            </w:r>
          </w:p>
        </w:tc>
      </w:tr>
      <w:tr>
        <w:tc>
          <w:tcPr>
            <w:tcW w:type="dxa" w:w="5083"/>
          </w:tcPr>
          <w:p>
            <w:pPr>
              <w:spacing w:after="0"/>
            </w:pPr>
            <w:r>
              <w:rPr>
                <w:sz w:val="15"/>
              </w:rPr>
              <w:t>#008 Economics</w:t>
            </w:r>
          </w:p>
        </w:tc>
        <w:tc>
          <w:tcPr>
            <w:tcW w:type="dxa" w:w="5083"/>
          </w:tcPr>
          <w:p>
            <w:pPr>
              <w:spacing w:after="0"/>
            </w:pPr>
            <w:r>
              <w:rPr>
                <w:sz w:val="15"/>
              </w:rPr>
              <w:t>Sustainability, quality, turnover and capacity effects become economic inputs only after validation.</w:t>
            </w:r>
          </w:p>
        </w:tc>
      </w:tr>
      <w:tr>
        <w:tc>
          <w:tcPr>
            <w:tcW w:type="dxa" w:w="5083"/>
          </w:tcPr>
          <w:p>
            <w:pPr>
              <w:spacing w:after="0"/>
            </w:pPr>
            <w:r>
              <w:rPr>
                <w:sz w:val="15"/>
              </w:rPr>
              <w:t>#009 Selection &amp; Readiness</w:t>
            </w:r>
          </w:p>
        </w:tc>
        <w:tc>
          <w:tcPr>
            <w:tcW w:type="dxa" w:w="5083"/>
          </w:tcPr>
          <w:p>
            <w:pPr>
              <w:spacing w:after="0"/>
            </w:pPr>
            <w:r>
              <w:rPr>
                <w:sz w:val="15"/>
              </w:rPr>
              <w:t>Tests structural ceiling: better selection cannot compensate indefinitely for adverse work design.</w:t>
            </w:r>
          </w:p>
        </w:tc>
      </w:tr>
      <w:tr>
        <w:tc>
          <w:tcPr>
            <w:tcW w:type="dxa" w:w="5083"/>
          </w:tcPr>
          <w:p>
            <w:pPr>
              <w:spacing w:after="0"/>
            </w:pPr>
            <w:r>
              <w:rPr>
                <w:sz w:val="15"/>
              </w:rPr>
              <w:t>#010 Work Design &amp; Sustainability</w:t>
            </w:r>
          </w:p>
        </w:tc>
        <w:tc>
          <w:tcPr>
            <w:tcW w:type="dxa" w:w="5083"/>
          </w:tcPr>
          <w:p>
            <w:pPr>
              <w:spacing w:after="0"/>
            </w:pPr>
            <w:r>
              <w:rPr>
                <w:sz w:val="15"/>
              </w:rPr>
              <w:t>Focuses on the design of work and the operating system itself.</w:t>
            </w:r>
          </w:p>
        </w:tc>
      </w:tr>
    </w:tbl>
    <w:p>
      <w:pPr>
        <w:pStyle w:val="Heading1"/>
      </w:pPr>
      <w:r>
        <w:t>4. Work Design Construct Architecture</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0B3A53"/>
          </w:tcPr>
          <w:p>
            <w:r>
              <w:rPr>
                <w:b/>
                <w:color w:val="FFFFFF"/>
                <w:sz w:val="15"/>
              </w:rPr>
              <w:t>Domain</w:t>
            </w:r>
          </w:p>
        </w:tc>
        <w:tc>
          <w:tcPr>
            <w:tcW w:type="dxa" w:w="3389"/>
            <w:shd w:fill="0B3A53"/>
          </w:tcPr>
          <w:p>
            <w:r>
              <w:rPr>
                <w:b/>
                <w:color w:val="FFFFFF"/>
                <w:sz w:val="15"/>
              </w:rPr>
              <w:t>Illustrative measures</w:t>
            </w:r>
          </w:p>
        </w:tc>
        <w:tc>
          <w:tcPr>
            <w:tcW w:type="dxa" w:w="3389"/>
            <w:shd w:fill="0B3A53"/>
          </w:tcPr>
          <w:p>
            <w:r>
              <w:rPr>
                <w:b/>
                <w:color w:val="FFFFFF"/>
                <w:sz w:val="15"/>
              </w:rPr>
              <w:t>Boundary</w:t>
            </w:r>
          </w:p>
        </w:tc>
      </w:tr>
      <w:tr>
        <w:tc>
          <w:tcPr>
            <w:tcW w:type="dxa" w:w="3389"/>
          </w:tcPr>
          <w:p>
            <w:pPr>
              <w:spacing w:after="0"/>
            </w:pPr>
            <w:r>
              <w:rPr>
                <w:sz w:val="15"/>
              </w:rPr>
              <w:t>Demand intensity</w:t>
            </w:r>
          </w:p>
        </w:tc>
        <w:tc>
          <w:tcPr>
            <w:tcW w:type="dxa" w:w="3389"/>
          </w:tcPr>
          <w:p>
            <w:pPr>
              <w:spacing w:after="0"/>
            </w:pPr>
            <w:r>
              <w:rPr>
                <w:sz w:val="15"/>
              </w:rPr>
              <w:t>Contact volume, occupancy, concurrency, backlog, pace</w:t>
            </w:r>
          </w:p>
        </w:tc>
        <w:tc>
          <w:tcPr>
            <w:tcW w:type="dxa" w:w="3389"/>
          </w:tcPr>
          <w:p>
            <w:pPr>
              <w:spacing w:after="0"/>
            </w:pPr>
            <w:r>
              <w:rPr>
                <w:sz w:val="15"/>
              </w:rPr>
              <w:t>High demand is not inherently harmful; resources/recovery/context matter.</w:t>
            </w:r>
          </w:p>
        </w:tc>
      </w:tr>
      <w:tr>
        <w:tc>
          <w:tcPr>
            <w:tcW w:type="dxa" w:w="3389"/>
          </w:tcPr>
          <w:p>
            <w:pPr>
              <w:spacing w:after="0"/>
            </w:pPr>
            <w:r>
              <w:rPr>
                <w:sz w:val="15"/>
              </w:rPr>
              <w:t>Staffing/capacity</w:t>
            </w:r>
          </w:p>
        </w:tc>
        <w:tc>
          <w:tcPr>
            <w:tcW w:type="dxa" w:w="3389"/>
          </w:tcPr>
          <w:p>
            <w:pPr>
              <w:spacing w:after="0"/>
            </w:pPr>
            <w:r>
              <w:rPr>
                <w:sz w:val="15"/>
              </w:rPr>
              <w:t>Headcount, shrinkage, schedule coverage, service pressure</w:t>
            </w:r>
          </w:p>
        </w:tc>
        <w:tc>
          <w:tcPr>
            <w:tcW w:type="dxa" w:w="3389"/>
          </w:tcPr>
          <w:p>
            <w:pPr>
              <w:spacing w:after="0"/>
            </w:pPr>
            <w:r>
              <w:rPr>
                <w:sz w:val="15"/>
              </w:rPr>
              <w:t>Separate chronic understaffing from temporary peaks.</w:t>
            </w:r>
          </w:p>
        </w:tc>
      </w:tr>
      <w:tr>
        <w:tc>
          <w:tcPr>
            <w:tcW w:type="dxa" w:w="3389"/>
          </w:tcPr>
          <w:p>
            <w:pPr>
              <w:spacing w:after="0"/>
            </w:pPr>
            <w:r>
              <w:rPr>
                <w:sz w:val="15"/>
              </w:rPr>
              <w:t>Autonomy/control</w:t>
            </w:r>
          </w:p>
        </w:tc>
        <w:tc>
          <w:tcPr>
            <w:tcW w:type="dxa" w:w="3389"/>
          </w:tcPr>
          <w:p>
            <w:pPr>
              <w:spacing w:after="0"/>
            </w:pPr>
            <w:r>
              <w:rPr>
                <w:sz w:val="15"/>
              </w:rPr>
              <w:t>Method discretion, decision latitude, break/pace control</w:t>
            </w:r>
          </w:p>
        </w:tc>
        <w:tc>
          <w:tcPr>
            <w:tcW w:type="dxa" w:w="3389"/>
          </w:tcPr>
          <w:p>
            <w:pPr>
              <w:spacing w:after="0"/>
            </w:pPr>
            <w:r>
              <w:rPr>
                <w:sz w:val="15"/>
              </w:rPr>
              <w:t>More autonomy is not always feasible or beneficial for every task.</w:t>
            </w:r>
          </w:p>
        </w:tc>
      </w:tr>
      <w:tr>
        <w:tc>
          <w:tcPr>
            <w:tcW w:type="dxa" w:w="3389"/>
          </w:tcPr>
          <w:p>
            <w:pPr>
              <w:spacing w:after="0"/>
            </w:pPr>
            <w:r>
              <w:rPr>
                <w:sz w:val="15"/>
              </w:rPr>
              <w:t>Monitoring</w:t>
            </w:r>
          </w:p>
        </w:tc>
        <w:tc>
          <w:tcPr>
            <w:tcW w:type="dxa" w:w="3389"/>
          </w:tcPr>
          <w:p>
            <w:pPr>
              <w:spacing w:after="0"/>
            </w:pPr>
            <w:r>
              <w:rPr>
                <w:sz w:val="15"/>
              </w:rPr>
              <w:t>Frequency, granularity, purpose, transparency, consequences</w:t>
            </w:r>
          </w:p>
        </w:tc>
        <w:tc>
          <w:tcPr>
            <w:tcW w:type="dxa" w:w="3389"/>
          </w:tcPr>
          <w:p>
            <w:pPr>
              <w:spacing w:after="0"/>
            </w:pPr>
            <w:r>
              <w:rPr>
                <w:sz w:val="15"/>
              </w:rPr>
              <w:t>Separate developmental feedback from surveillance/control.</w:t>
            </w:r>
          </w:p>
        </w:tc>
      </w:tr>
      <w:tr>
        <w:tc>
          <w:tcPr>
            <w:tcW w:type="dxa" w:w="3389"/>
          </w:tcPr>
          <w:p>
            <w:pPr>
              <w:spacing w:after="0"/>
            </w:pPr>
            <w:r>
              <w:rPr>
                <w:sz w:val="15"/>
              </w:rPr>
              <w:t>Schedule quality</w:t>
            </w:r>
          </w:p>
        </w:tc>
        <w:tc>
          <w:tcPr>
            <w:tcW w:type="dxa" w:w="3389"/>
          </w:tcPr>
          <w:p>
            <w:pPr>
              <w:spacing w:after="0"/>
            </w:pPr>
            <w:r>
              <w:rPr>
                <w:sz w:val="15"/>
              </w:rPr>
              <w:t>Predictability, fit, flexibility, split/late shifts, overtime</w:t>
            </w:r>
          </w:p>
        </w:tc>
        <w:tc>
          <w:tcPr>
            <w:tcW w:type="dxa" w:w="3389"/>
          </w:tcPr>
          <w:p>
            <w:pPr>
              <w:spacing w:after="0"/>
            </w:pPr>
            <w:r>
              <w:rPr>
                <w:sz w:val="15"/>
              </w:rPr>
              <w:t>Measure employee constraints and operational requirements.</w:t>
            </w:r>
          </w:p>
        </w:tc>
      </w:tr>
      <w:tr>
        <w:tc>
          <w:tcPr>
            <w:tcW w:type="dxa" w:w="3389"/>
          </w:tcPr>
          <w:p>
            <w:pPr>
              <w:spacing w:after="0"/>
            </w:pPr>
            <w:r>
              <w:rPr>
                <w:sz w:val="15"/>
              </w:rPr>
              <w:t>Recovery</w:t>
            </w:r>
          </w:p>
        </w:tc>
        <w:tc>
          <w:tcPr>
            <w:tcW w:type="dxa" w:w="3389"/>
          </w:tcPr>
          <w:p>
            <w:pPr>
              <w:spacing w:after="0"/>
            </w:pPr>
            <w:r>
              <w:rPr>
                <w:sz w:val="15"/>
              </w:rPr>
              <w:t>Break access, after-call recovery, decompression after difficult contacts</w:t>
            </w:r>
          </w:p>
        </w:tc>
        <w:tc>
          <w:tcPr>
            <w:tcW w:type="dxa" w:w="3389"/>
          </w:tcPr>
          <w:p>
            <w:pPr>
              <w:spacing w:after="0"/>
            </w:pPr>
            <w:r>
              <w:rPr>
                <w:sz w:val="15"/>
              </w:rPr>
              <w:t>Do not reduce recovery to formal break policy alone.</w:t>
            </w:r>
          </w:p>
        </w:tc>
      </w:tr>
      <w:tr>
        <w:tc>
          <w:tcPr>
            <w:tcW w:type="dxa" w:w="3389"/>
          </w:tcPr>
          <w:p>
            <w:pPr>
              <w:spacing w:after="0"/>
            </w:pPr>
            <w:r>
              <w:rPr>
                <w:sz w:val="15"/>
              </w:rPr>
              <w:t>Emotional demand</w:t>
            </w:r>
          </w:p>
        </w:tc>
        <w:tc>
          <w:tcPr>
            <w:tcW w:type="dxa" w:w="3389"/>
          </w:tcPr>
          <w:p>
            <w:pPr>
              <w:spacing w:after="0"/>
            </w:pPr>
            <w:r>
              <w:rPr>
                <w:sz w:val="15"/>
              </w:rPr>
              <w:t>Hostility, abuse, grief, conflict, emotional display rules</w:t>
            </w:r>
          </w:p>
        </w:tc>
        <w:tc>
          <w:tcPr>
            <w:tcW w:type="dxa" w:w="3389"/>
          </w:tcPr>
          <w:p>
            <w:pPr>
              <w:spacing w:after="0"/>
            </w:pPr>
            <w:r>
              <w:rPr>
                <w:sz w:val="15"/>
              </w:rPr>
              <w:t>Treat exposure and recovery/support separately.</w:t>
            </w:r>
          </w:p>
        </w:tc>
      </w:tr>
      <w:tr>
        <w:tc>
          <w:tcPr>
            <w:tcW w:type="dxa" w:w="3389"/>
          </w:tcPr>
          <w:p>
            <w:pPr>
              <w:spacing w:after="0"/>
            </w:pPr>
            <w:r>
              <w:rPr>
                <w:sz w:val="15"/>
              </w:rPr>
              <w:t>Cognitive/technology load</w:t>
            </w:r>
          </w:p>
        </w:tc>
        <w:tc>
          <w:tcPr>
            <w:tcW w:type="dxa" w:w="3389"/>
          </w:tcPr>
          <w:p>
            <w:pPr>
              <w:spacing w:after="0"/>
            </w:pPr>
            <w:r>
              <w:rPr>
                <w:sz w:val="15"/>
              </w:rPr>
              <w:t>Systems, switching, documentation, information search, AI/tool burden</w:t>
            </w:r>
          </w:p>
        </w:tc>
        <w:tc>
          <w:tcPr>
            <w:tcW w:type="dxa" w:w="3389"/>
          </w:tcPr>
          <w:p>
            <w:pPr>
              <w:spacing w:after="0"/>
            </w:pPr>
            <w:r>
              <w:rPr>
                <w:sz w:val="15"/>
              </w:rPr>
              <w:t>Technology can reduce or add load.</w:t>
            </w:r>
          </w:p>
        </w:tc>
      </w:tr>
      <w:tr>
        <w:tc>
          <w:tcPr>
            <w:tcW w:type="dxa" w:w="3389"/>
          </w:tcPr>
          <w:p>
            <w:pPr>
              <w:spacing w:after="0"/>
            </w:pPr>
            <w:r>
              <w:rPr>
                <w:sz w:val="15"/>
              </w:rPr>
              <w:t>Metric architecture</w:t>
            </w:r>
          </w:p>
        </w:tc>
        <w:tc>
          <w:tcPr>
            <w:tcW w:type="dxa" w:w="3389"/>
          </w:tcPr>
          <w:p>
            <w:pPr>
              <w:spacing w:after="0"/>
            </w:pPr>
            <w:r>
              <w:rPr>
                <w:sz w:val="15"/>
              </w:rPr>
              <w:t>Number, conflict, controllability, tradeoffs, incentive pressure</w:t>
            </w:r>
          </w:p>
        </w:tc>
        <w:tc>
          <w:tcPr>
            <w:tcW w:type="dxa" w:w="3389"/>
          </w:tcPr>
          <w:p>
            <w:pPr>
              <w:spacing w:after="0"/>
            </w:pPr>
            <w:r>
              <w:rPr>
                <w:sz w:val="15"/>
              </w:rPr>
              <w:t>Distinguish measurement from punitive use.</w:t>
            </w:r>
          </w:p>
        </w:tc>
      </w:tr>
      <w:tr>
        <w:tc>
          <w:tcPr>
            <w:tcW w:type="dxa" w:w="3389"/>
          </w:tcPr>
          <w:p>
            <w:pPr>
              <w:spacing w:after="0"/>
            </w:pPr>
            <w:r>
              <w:rPr>
                <w:sz w:val="15"/>
              </w:rPr>
              <w:t>Role clarity/complexity</w:t>
            </w:r>
          </w:p>
        </w:tc>
        <w:tc>
          <w:tcPr>
            <w:tcW w:type="dxa" w:w="3389"/>
          </w:tcPr>
          <w:p>
            <w:pPr>
              <w:spacing w:after="0"/>
            </w:pPr>
            <w:r>
              <w:rPr>
                <w:sz w:val="15"/>
              </w:rPr>
              <w:t>Scope, exceptions, escalation, authority</w:t>
            </w:r>
          </w:p>
        </w:tc>
        <w:tc>
          <w:tcPr>
            <w:tcW w:type="dxa" w:w="3389"/>
          </w:tcPr>
          <w:p>
            <w:pPr>
              <w:spacing w:after="0"/>
            </w:pPr>
            <w:r>
              <w:rPr>
                <w:sz w:val="15"/>
              </w:rPr>
              <w:t>Complexity may require greater discretion/support.</w:t>
            </w:r>
          </w:p>
        </w:tc>
      </w:tr>
      <w:tr>
        <w:tc>
          <w:tcPr>
            <w:tcW w:type="dxa" w:w="3389"/>
          </w:tcPr>
          <w:p>
            <w:pPr>
              <w:spacing w:after="0"/>
            </w:pPr>
            <w:r>
              <w:rPr>
                <w:sz w:val="15"/>
              </w:rPr>
              <w:t>Remote/hybrid environment</w:t>
            </w:r>
          </w:p>
        </w:tc>
        <w:tc>
          <w:tcPr>
            <w:tcW w:type="dxa" w:w="3389"/>
          </w:tcPr>
          <w:p>
            <w:pPr>
              <w:spacing w:after="0"/>
            </w:pPr>
            <w:r>
              <w:rPr>
                <w:sz w:val="15"/>
              </w:rPr>
              <w:t>Isolation, support access, monitoring, home constraints</w:t>
            </w:r>
          </w:p>
        </w:tc>
        <w:tc>
          <w:tcPr>
            <w:tcW w:type="dxa" w:w="3389"/>
          </w:tcPr>
          <w:p>
            <w:pPr>
              <w:spacing w:after="0"/>
            </w:pPr>
            <w:r>
              <w:rPr>
                <w:sz w:val="15"/>
              </w:rPr>
              <w:t>Do not generalize knowledge-worker telework evidence automatically.</w:t>
            </w:r>
          </w:p>
        </w:tc>
      </w:tr>
      <w:tr>
        <w:tc>
          <w:tcPr>
            <w:tcW w:type="dxa" w:w="3389"/>
          </w:tcPr>
          <w:p>
            <w:pPr>
              <w:spacing w:after="0"/>
            </w:pPr>
            <w:r>
              <w:rPr>
                <w:sz w:val="15"/>
              </w:rPr>
              <w:t>Resources/support</w:t>
            </w:r>
          </w:p>
        </w:tc>
        <w:tc>
          <w:tcPr>
            <w:tcW w:type="dxa" w:w="3389"/>
          </w:tcPr>
          <w:p>
            <w:pPr>
              <w:spacing w:after="0"/>
            </w:pPr>
            <w:r>
              <w:rPr>
                <w:sz w:val="15"/>
              </w:rPr>
              <w:t>Knowledge, staffing, tools, peer/leader help, training</w:t>
            </w:r>
          </w:p>
        </w:tc>
        <w:tc>
          <w:tcPr>
            <w:tcW w:type="dxa" w:w="3389"/>
          </w:tcPr>
          <w:p>
            <w:pPr>
              <w:spacing w:after="0"/>
            </w:pPr>
            <w:r>
              <w:rPr>
                <w:sz w:val="15"/>
              </w:rPr>
              <w:t>Model resources against demands.</w:t>
            </w:r>
          </w:p>
        </w:tc>
      </w:tr>
    </w:tbl>
    <w:p>
      <w:pPr>
        <w:pStyle w:val="Heading1"/>
      </w:pPr>
      <w:r>
        <w:t>5. Sustainability Outcome Model</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0B3A53"/>
          </w:tcPr>
          <w:p>
            <w:r>
              <w:rPr>
                <w:b/>
                <w:color w:val="FFFFFF"/>
                <w:sz w:val="15"/>
              </w:rPr>
              <w:t>Outcome family</w:t>
            </w:r>
          </w:p>
        </w:tc>
        <w:tc>
          <w:tcPr>
            <w:tcW w:type="dxa" w:w="3389"/>
            <w:shd w:fill="0B3A53"/>
          </w:tcPr>
          <w:p>
            <w:r>
              <w:rPr>
                <w:b/>
                <w:color w:val="FFFFFF"/>
                <w:sz w:val="15"/>
              </w:rPr>
              <w:t>Examples</w:t>
            </w:r>
          </w:p>
        </w:tc>
        <w:tc>
          <w:tcPr>
            <w:tcW w:type="dxa" w:w="3389"/>
            <w:shd w:fill="0B3A53"/>
          </w:tcPr>
          <w:p>
            <w:r>
              <w:rPr>
                <w:b/>
                <w:color w:val="FFFFFF"/>
                <w:sz w:val="15"/>
              </w:rPr>
              <w:t>Guardrail</w:t>
            </w:r>
          </w:p>
        </w:tc>
      </w:tr>
      <w:tr>
        <w:tc>
          <w:tcPr>
            <w:tcW w:type="dxa" w:w="3389"/>
          </w:tcPr>
          <w:p>
            <w:pPr>
              <w:spacing w:after="0"/>
            </w:pPr>
            <w:r>
              <w:rPr>
                <w:sz w:val="15"/>
              </w:rPr>
              <w:t>Performance</w:t>
            </w:r>
          </w:p>
        </w:tc>
        <w:tc>
          <w:tcPr>
            <w:tcW w:type="dxa" w:w="3389"/>
          </w:tcPr>
          <w:p>
            <w:pPr>
              <w:spacing w:after="0"/>
            </w:pPr>
            <w:r>
              <w:rPr>
                <w:sz w:val="15"/>
              </w:rPr>
              <w:t>Quality, resolution, productivity, compliance</w:t>
            </w:r>
          </w:p>
        </w:tc>
        <w:tc>
          <w:tcPr>
            <w:tcW w:type="dxa" w:w="3389"/>
          </w:tcPr>
          <w:p>
            <w:pPr>
              <w:spacing w:after="0"/>
            </w:pPr>
            <w:r>
              <w:rPr>
                <w:sz w:val="15"/>
              </w:rPr>
              <w:t>Never interpret throughput alone.</w:t>
            </w:r>
          </w:p>
        </w:tc>
      </w:tr>
      <w:tr>
        <w:tc>
          <w:tcPr>
            <w:tcW w:type="dxa" w:w="3389"/>
          </w:tcPr>
          <w:p>
            <w:pPr>
              <w:spacing w:after="0"/>
            </w:pPr>
            <w:r>
              <w:rPr>
                <w:sz w:val="15"/>
              </w:rPr>
              <w:t>Customer</w:t>
            </w:r>
          </w:p>
        </w:tc>
        <w:tc>
          <w:tcPr>
            <w:tcW w:type="dxa" w:w="3389"/>
          </w:tcPr>
          <w:p>
            <w:pPr>
              <w:spacing w:after="0"/>
            </w:pPr>
            <w:r>
              <w:rPr>
                <w:sz w:val="15"/>
              </w:rPr>
              <w:t>Resolution, repeat contact, escalation, complaints, access</w:t>
            </w:r>
          </w:p>
        </w:tc>
        <w:tc>
          <w:tcPr>
            <w:tcW w:type="dxa" w:w="3389"/>
          </w:tcPr>
          <w:p>
            <w:pPr>
              <w:spacing w:after="0"/>
            </w:pPr>
            <w:r>
              <w:rPr>
                <w:sz w:val="15"/>
              </w:rPr>
              <w:t>Separate employee-controlled and system-controlled drivers.</w:t>
            </w:r>
          </w:p>
        </w:tc>
      </w:tr>
      <w:tr>
        <w:tc>
          <w:tcPr>
            <w:tcW w:type="dxa" w:w="3389"/>
          </w:tcPr>
          <w:p>
            <w:pPr>
              <w:spacing w:after="0"/>
            </w:pPr>
            <w:r>
              <w:rPr>
                <w:sz w:val="15"/>
              </w:rPr>
              <w:t>Employee sustainability</w:t>
            </w:r>
          </w:p>
        </w:tc>
        <w:tc>
          <w:tcPr>
            <w:tcW w:type="dxa" w:w="3389"/>
          </w:tcPr>
          <w:p>
            <w:pPr>
              <w:spacing w:after="0"/>
            </w:pPr>
            <w:r>
              <w:rPr>
                <w:sz w:val="15"/>
              </w:rPr>
              <w:t>Exhaustion, engagement, satisfaction, recovery, intent to stay</w:t>
            </w:r>
          </w:p>
        </w:tc>
        <w:tc>
          <w:tcPr>
            <w:tcW w:type="dxa" w:w="3389"/>
          </w:tcPr>
          <w:p>
            <w:pPr>
              <w:spacing w:after="0"/>
            </w:pPr>
            <w:r>
              <w:rPr>
                <w:sz w:val="15"/>
              </w:rPr>
              <w:t>Use validated measures where available.</w:t>
            </w:r>
          </w:p>
        </w:tc>
      </w:tr>
      <w:tr>
        <w:tc>
          <w:tcPr>
            <w:tcW w:type="dxa" w:w="3389"/>
          </w:tcPr>
          <w:p>
            <w:pPr>
              <w:spacing w:after="0"/>
            </w:pPr>
            <w:r>
              <w:rPr>
                <w:sz w:val="15"/>
              </w:rPr>
              <w:t>Behavior</w:t>
            </w:r>
          </w:p>
        </w:tc>
        <w:tc>
          <w:tcPr>
            <w:tcW w:type="dxa" w:w="3389"/>
          </w:tcPr>
          <w:p>
            <w:pPr>
              <w:spacing w:after="0"/>
            </w:pPr>
            <w:r>
              <w:rPr>
                <w:sz w:val="15"/>
              </w:rPr>
              <w:t>Absence, schedule adherence, error/rework, help-seeking</w:t>
            </w:r>
          </w:p>
        </w:tc>
        <w:tc>
          <w:tcPr>
            <w:tcW w:type="dxa" w:w="3389"/>
          </w:tcPr>
          <w:p>
            <w:pPr>
              <w:spacing w:after="0"/>
            </w:pPr>
            <w:r>
              <w:rPr>
                <w:sz w:val="15"/>
              </w:rPr>
              <w:t>Do not moralize behavior without context.</w:t>
            </w:r>
          </w:p>
        </w:tc>
      </w:tr>
      <w:tr>
        <w:tc>
          <w:tcPr>
            <w:tcW w:type="dxa" w:w="3389"/>
          </w:tcPr>
          <w:p>
            <w:pPr>
              <w:spacing w:after="0"/>
            </w:pPr>
            <w:r>
              <w:rPr>
                <w:sz w:val="15"/>
              </w:rPr>
              <w:t>Employment</w:t>
            </w:r>
          </w:p>
        </w:tc>
        <w:tc>
          <w:tcPr>
            <w:tcW w:type="dxa" w:w="3389"/>
          </w:tcPr>
          <w:p>
            <w:pPr>
              <w:spacing w:after="0"/>
            </w:pPr>
            <w:r>
              <w:rPr>
                <w:sz w:val="15"/>
              </w:rPr>
              <w:t>Withdrawal, transfer, turnover</w:t>
            </w:r>
          </w:p>
        </w:tc>
        <w:tc>
          <w:tcPr>
            <w:tcW w:type="dxa" w:w="3389"/>
          </w:tcPr>
          <w:p>
            <w:pPr>
              <w:spacing w:after="0"/>
            </w:pPr>
            <w:r>
              <w:rPr>
                <w:sz w:val="15"/>
              </w:rPr>
              <w:t>Distinguish voluntary/regrettable/avoidable where possible.</w:t>
            </w:r>
          </w:p>
        </w:tc>
      </w:tr>
      <w:tr>
        <w:tc>
          <w:tcPr>
            <w:tcW w:type="dxa" w:w="3389"/>
          </w:tcPr>
          <w:p>
            <w:pPr>
              <w:spacing w:after="0"/>
            </w:pPr>
            <w:r>
              <w:rPr>
                <w:sz w:val="15"/>
              </w:rPr>
              <w:t>Learning/adaptation</w:t>
            </w:r>
          </w:p>
        </w:tc>
        <w:tc>
          <w:tcPr>
            <w:tcW w:type="dxa" w:w="3389"/>
          </w:tcPr>
          <w:p>
            <w:pPr>
              <w:spacing w:after="0"/>
            </w:pPr>
            <w:r>
              <w:rPr>
                <w:sz w:val="15"/>
              </w:rPr>
              <w:t>Skill use, change adoption, independent capability</w:t>
            </w:r>
          </w:p>
        </w:tc>
        <w:tc>
          <w:tcPr>
            <w:tcW w:type="dxa" w:w="3389"/>
          </w:tcPr>
          <w:p>
            <w:pPr>
              <w:spacing w:after="0"/>
            </w:pPr>
            <w:r>
              <w:rPr>
                <w:sz w:val="15"/>
              </w:rPr>
              <w:t>Overload may suppress learning.</w:t>
            </w:r>
          </w:p>
        </w:tc>
      </w:tr>
      <w:tr>
        <w:tc>
          <w:tcPr>
            <w:tcW w:type="dxa" w:w="3389"/>
          </w:tcPr>
          <w:p>
            <w:pPr>
              <w:spacing w:after="0"/>
            </w:pPr>
            <w:r>
              <w:rPr>
                <w:sz w:val="15"/>
              </w:rPr>
              <w:t>System resilience</w:t>
            </w:r>
          </w:p>
        </w:tc>
        <w:tc>
          <w:tcPr>
            <w:tcW w:type="dxa" w:w="3389"/>
          </w:tcPr>
          <w:p>
            <w:pPr>
              <w:spacing w:after="0"/>
            </w:pPr>
            <w:r>
              <w:rPr>
                <w:sz w:val="15"/>
              </w:rPr>
              <w:t>Ability to absorb peaks/outages/change without persistent harm</w:t>
            </w:r>
          </w:p>
        </w:tc>
        <w:tc>
          <w:tcPr>
            <w:tcW w:type="dxa" w:w="3389"/>
          </w:tcPr>
          <w:p>
            <w:pPr>
              <w:spacing w:after="0"/>
            </w:pPr>
            <w:r>
              <w:rPr>
                <w:sz w:val="15"/>
              </w:rPr>
              <w:t>Connect to #005/#007.</w:t>
            </w:r>
          </w:p>
        </w:tc>
      </w:tr>
    </w:tbl>
    <w:p>
      <w:pPr>
        <w:pStyle w:val="Heading1"/>
      </w:pPr>
      <w:r>
        <w:t>6. Hypotheses</w:t>
      </w:r>
    </w:p>
    <w:p>
      <w:r>
        <w:rPr>
          <w:b/>
        </w:rPr>
        <w:t>H1 — Demand–Resource Balance</w:t>
      </w:r>
      <w:r>
        <w:t>: Sustained high job demands will predict worse sustainability when adequate resources, control and recovery are absent; the same demand may have different effects under different resource conditions.</w:t>
      </w:r>
    </w:p>
    <w:p>
      <w:r>
        <w:rPr>
          <w:b/>
        </w:rPr>
        <w:t>H2 — Autonomy/Control</w:t>
      </w:r>
      <w:r>
        <w:t>: Appropriate decision latitude and method control will predict better well-being and selected performance outcomes, with effects moderated by task risk, skill and standardization needs.</w:t>
      </w:r>
    </w:p>
    <w:p>
      <w:r>
        <w:rPr>
          <w:b/>
        </w:rPr>
        <w:t>H3 — Monitoring Is Purpose-Dependent</w:t>
      </w:r>
      <w:r>
        <w:t>: Monitoring designed and experienced as developmental, transparent and controllable will differ in effects from intense, opaque or punitive monitoring.</w:t>
      </w:r>
    </w:p>
    <w:p>
      <w:r>
        <w:rPr>
          <w:b/>
        </w:rPr>
        <w:t>H4 — Recovery Capacity</w:t>
      </w:r>
      <w:r>
        <w:t>: Insufficient real recovery opportunity after sustained or emotionally intense work will predict exhaustion, error, withdrawal and reduced sustainable performance.</w:t>
      </w:r>
    </w:p>
    <w:p>
      <w:r>
        <w:rPr>
          <w:b/>
        </w:rPr>
        <w:t>H5 — Schedule Quality</w:t>
      </w:r>
      <w:r>
        <w:t>: Predictability, fit and appropriate flexibility will predict sustainability and retention beyond employee readiness, while operationally necessary constraints may moderate effects.</w:t>
      </w:r>
    </w:p>
    <w:p>
      <w:r>
        <w:rPr>
          <w:b/>
        </w:rPr>
        <w:t>H6 — Emotional Demand Has Independent Cost</w:t>
      </w:r>
      <w:r>
        <w:t>: Customer hostility and emotional labor will predict well-being and performance consequences beyond contact volume alone.</w:t>
      </w:r>
    </w:p>
    <w:p>
      <w:r>
        <w:rPr>
          <w:b/>
        </w:rPr>
        <w:t>H7 — Metric Conflict Creates Dysfunction</w:t>
      </w:r>
      <w:r>
        <w:t>: Conflicting or weakly controllable performance demands will predict gaming, role conflict, stress or quality tradeoffs more strongly than clear, behavior-linked metrics.</w:t>
      </w:r>
    </w:p>
    <w:p>
      <w:r>
        <w:rPr>
          <w:b/>
        </w:rPr>
        <w:t>H8 — Technology Can Reduce or Add Load</w:t>
      </w:r>
      <w:r>
        <w:t>: Digital tools and AI will improve sustainability only when net cognitive/administrative burden decreases without work intensification, surveillance or loss of necessary control.</w:t>
      </w:r>
    </w:p>
    <w:p>
      <w:r>
        <w:rPr>
          <w:b/>
        </w:rPr>
        <w:t>H9 — Supervisor Effects Have a Structural Ceiling</w:t>
      </w:r>
      <w:r>
        <w:t>: Supportive leadership will buffer some demands but will not fully offset persistent understaffing, harmful schedules, extreme workload or poorly designed systems.</w:t>
      </w:r>
    </w:p>
    <w:p>
      <w:r>
        <w:rPr>
          <w:b/>
        </w:rPr>
        <w:t>H10 — Readiness Has a Structural Ceiling</w:t>
      </w:r>
      <w:r>
        <w:t>: Beyond identifiable levels of adverse work design, additional employee readiness/preparation will produce diminishing benefit because structural conditions dominate outcomes.</w:t>
      </w:r>
    </w:p>
    <w:p>
      <w:r>
        <w:rPr>
          <w:b/>
        </w:rPr>
        <w:t>H11 — Work Design Effects Are Heterogeneous</w:t>
      </w:r>
      <w:r>
        <w:t>: Effects will differ by inbound/outbound, service/sales, complexity, industry, channel, remote/hybrid/on-site context and employee characteristics.</w:t>
      </w:r>
    </w:p>
    <w:p>
      <w:r>
        <w:rPr>
          <w:b/>
        </w:rPr>
        <w:t>H12 — Sustainable Performance Is Multi-Outcome</w:t>
      </w:r>
      <w:r>
        <w:t>: A work design that raises short-term throughput while worsening quality, customer outcomes, employee sustainability or longer-term retention will not be classified as successful.</w:t>
      </w:r>
    </w:p>
    <w:p>
      <w:r>
        <w:rPr>
          <w:b/>
        </w:rPr>
        <w:t>H13 — Remote Contact-Center Work Requires Role-Specific Evidence</w:t>
      </w:r>
      <w:r>
        <w:t>: Findings from autonomous knowledge-worker telework will not be assumed to transfer to highly monitored/scripted contact-center work without direct evidence.</w:t>
      </w:r>
    </w:p>
    <w:p>
      <w:r>
        <w:rPr>
          <w:b/>
        </w:rPr>
        <w:t>H14 — Redesign May Outperform Resilience Training</w:t>
      </w:r>
      <w:r>
        <w:t>: When structural demands are the dominant causal driver, work redesign, staffing, scheduling, process or technology changes will outperform individual resilience/readiness interventions.</w:t>
      </w:r>
    </w:p>
    <w:p>
      <w:pPr>
        <w:pStyle w:val="Heading1"/>
      </w:pPr>
      <w:r>
        <w:t>7. Evidence Sufficiency Triage</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0B3A53"/>
          </w:tcPr>
          <w:p>
            <w:r>
              <w:rPr>
                <w:b/>
                <w:color w:val="FFFFFF"/>
                <w:sz w:val="15"/>
              </w:rPr>
              <w:t>Hypothesis</w:t>
            </w:r>
          </w:p>
        </w:tc>
        <w:tc>
          <w:tcPr>
            <w:tcW w:type="dxa" w:w="3389"/>
            <w:shd w:fill="0B3A53"/>
          </w:tcPr>
          <w:p>
            <w:r>
              <w:rPr>
                <w:b/>
                <w:color w:val="FFFFFF"/>
                <w:sz w:val="15"/>
              </w:rPr>
              <w:t>Status</w:t>
            </w:r>
          </w:p>
        </w:tc>
        <w:tc>
          <w:tcPr>
            <w:tcW w:type="dxa" w:w="3389"/>
            <w:shd w:fill="0B3A53"/>
          </w:tcPr>
          <w:p>
            <w:r>
              <w:rPr>
                <w:b/>
                <w:color w:val="FFFFFF"/>
                <w:sz w:val="15"/>
              </w:rPr>
              <w:t>Research implication</w:t>
            </w:r>
          </w:p>
        </w:tc>
      </w:tr>
      <w:tr>
        <w:tc>
          <w:tcPr>
            <w:tcW w:type="dxa" w:w="3389"/>
          </w:tcPr>
          <w:p>
            <w:pPr>
              <w:spacing w:after="0"/>
            </w:pPr>
            <w:r>
              <w:rPr>
                <w:sz w:val="15"/>
              </w:rPr>
              <w:t>H1 Demand–resource balance</w:t>
            </w:r>
          </w:p>
        </w:tc>
        <w:tc>
          <w:tcPr>
            <w:tcW w:type="dxa" w:w="3389"/>
          </w:tcPr>
          <w:p>
            <w:pPr>
              <w:spacing w:after="0"/>
            </w:pPr>
            <w:r>
              <w:rPr>
                <w:sz w:val="15"/>
              </w:rPr>
              <w:t>ESTABLISHED FOUNDATION / CONTACT-CENTER QUANTIFICATION NEEDED</w:t>
            </w:r>
          </w:p>
        </w:tc>
        <w:tc>
          <w:tcPr>
            <w:tcW w:type="dxa" w:w="3389"/>
          </w:tcPr>
          <w:p>
            <w:pPr>
              <w:spacing w:after="0"/>
            </w:pPr>
            <w:r>
              <w:rPr>
                <w:sz w:val="15"/>
              </w:rPr>
              <w:t>Use established work-stress theory; estimate contact-center thresholds/interactions.</w:t>
            </w:r>
          </w:p>
        </w:tc>
      </w:tr>
      <w:tr>
        <w:tc>
          <w:tcPr>
            <w:tcW w:type="dxa" w:w="3389"/>
          </w:tcPr>
          <w:p>
            <w:pPr>
              <w:spacing w:after="0"/>
            </w:pPr>
            <w:r>
              <w:rPr>
                <w:sz w:val="15"/>
              </w:rPr>
              <w:t>H2 Autonomy/control</w:t>
            </w:r>
          </w:p>
        </w:tc>
        <w:tc>
          <w:tcPr>
            <w:tcW w:type="dxa" w:w="3389"/>
          </w:tcPr>
          <w:p>
            <w:pPr>
              <w:spacing w:after="0"/>
            </w:pPr>
            <w:r>
              <w:rPr>
                <w:sz w:val="15"/>
              </w:rPr>
              <w:t>SUPPORTED IN CALL CENTERS</w:t>
            </w:r>
          </w:p>
        </w:tc>
        <w:tc>
          <w:tcPr>
            <w:tcW w:type="dxa" w:w="3389"/>
          </w:tcPr>
          <w:p>
            <w:pPr>
              <w:spacing w:after="0"/>
            </w:pPr>
            <w:r>
              <w:rPr>
                <w:sz w:val="15"/>
              </w:rPr>
              <w:t>Existing call-center evidence; test modern channels/context.</w:t>
            </w:r>
          </w:p>
        </w:tc>
      </w:tr>
      <w:tr>
        <w:tc>
          <w:tcPr>
            <w:tcW w:type="dxa" w:w="3389"/>
          </w:tcPr>
          <w:p>
            <w:pPr>
              <w:spacing w:after="0"/>
            </w:pPr>
            <w:r>
              <w:rPr>
                <w:sz w:val="15"/>
              </w:rPr>
              <w:t>H3 Monitoring purpose</w:t>
            </w:r>
          </w:p>
        </w:tc>
        <w:tc>
          <w:tcPr>
            <w:tcW w:type="dxa" w:w="3389"/>
          </w:tcPr>
          <w:p>
            <w:pPr>
              <w:spacing w:after="0"/>
            </w:pPr>
            <w:r>
              <w:rPr>
                <w:sz w:val="15"/>
              </w:rPr>
              <w:t>SUPPORTED / MODERN DIGITAL GAP</w:t>
            </w:r>
          </w:p>
        </w:tc>
        <w:tc>
          <w:tcPr>
            <w:tcW w:type="dxa" w:w="3389"/>
          </w:tcPr>
          <w:p>
            <w:pPr>
              <w:spacing w:after="0"/>
            </w:pPr>
            <w:r>
              <w:rPr>
                <w:sz w:val="15"/>
              </w:rPr>
              <w:t>Legacy call-center evidence strong enough for foundation; test AI/digital monitoring forms.</w:t>
            </w:r>
          </w:p>
        </w:tc>
      </w:tr>
      <w:tr>
        <w:tc>
          <w:tcPr>
            <w:tcW w:type="dxa" w:w="3389"/>
          </w:tcPr>
          <w:p>
            <w:pPr>
              <w:spacing w:after="0"/>
            </w:pPr>
            <w:r>
              <w:rPr>
                <w:sz w:val="15"/>
              </w:rPr>
              <w:t>H4 Recovery</w:t>
            </w:r>
          </w:p>
        </w:tc>
        <w:tc>
          <w:tcPr>
            <w:tcW w:type="dxa" w:w="3389"/>
          </w:tcPr>
          <w:p>
            <w:pPr>
              <w:spacing w:after="0"/>
            </w:pPr>
            <w:r>
              <w:rPr>
                <w:sz w:val="15"/>
              </w:rPr>
              <w:t>SUPPORTED GENERALLY / CONTACT-CENTER GAP</w:t>
            </w:r>
          </w:p>
        </w:tc>
        <w:tc>
          <w:tcPr>
            <w:tcW w:type="dxa" w:w="3389"/>
          </w:tcPr>
          <w:p>
            <w:pPr>
              <w:spacing w:after="0"/>
            </w:pPr>
            <w:r>
              <w:rPr>
                <w:sz w:val="15"/>
              </w:rPr>
              <w:t>Target operational recovery measures, not resilience rhetoric.</w:t>
            </w:r>
          </w:p>
        </w:tc>
      </w:tr>
      <w:tr>
        <w:tc>
          <w:tcPr>
            <w:tcW w:type="dxa" w:w="3389"/>
          </w:tcPr>
          <w:p>
            <w:pPr>
              <w:spacing w:after="0"/>
            </w:pPr>
            <w:r>
              <w:rPr>
                <w:sz w:val="15"/>
              </w:rPr>
              <w:t>H5 Schedule quality</w:t>
            </w:r>
          </w:p>
        </w:tc>
        <w:tc>
          <w:tcPr>
            <w:tcW w:type="dxa" w:w="3389"/>
          </w:tcPr>
          <w:p>
            <w:pPr>
              <w:spacing w:after="0"/>
            </w:pPr>
            <w:r>
              <w:rPr>
                <w:sz w:val="15"/>
              </w:rPr>
              <w:t>SUPPORTED GENERALLY / LOCAL DATA NEEDED</w:t>
            </w:r>
          </w:p>
        </w:tc>
        <w:tc>
          <w:tcPr>
            <w:tcW w:type="dxa" w:w="3389"/>
          </w:tcPr>
          <w:p>
            <w:pPr>
              <w:spacing w:after="0"/>
            </w:pPr>
            <w:r>
              <w:rPr>
                <w:sz w:val="15"/>
              </w:rPr>
              <w:t>Use WFM/schedule data where possible.</w:t>
            </w:r>
          </w:p>
        </w:tc>
      </w:tr>
      <w:tr>
        <w:tc>
          <w:tcPr>
            <w:tcW w:type="dxa" w:w="3389"/>
          </w:tcPr>
          <w:p>
            <w:pPr>
              <w:spacing w:after="0"/>
            </w:pPr>
            <w:r>
              <w:rPr>
                <w:sz w:val="15"/>
              </w:rPr>
              <w:t>H6 Emotional demand</w:t>
            </w:r>
          </w:p>
        </w:tc>
        <w:tc>
          <w:tcPr>
            <w:tcW w:type="dxa" w:w="3389"/>
          </w:tcPr>
          <w:p>
            <w:pPr>
              <w:spacing w:after="0"/>
            </w:pPr>
            <w:r>
              <w:rPr>
                <w:sz w:val="15"/>
              </w:rPr>
              <w:t>ESTABLISHED FOUNDATION</w:t>
            </w:r>
          </w:p>
        </w:tc>
        <w:tc>
          <w:tcPr>
            <w:tcW w:type="dxa" w:w="3389"/>
          </w:tcPr>
          <w:p>
            <w:pPr>
              <w:spacing w:after="0"/>
            </w:pPr>
            <w:r>
              <w:rPr>
                <w:sz w:val="15"/>
              </w:rPr>
              <w:t>Measure exposure and outcomes; avoid duplicating mature emotional-labor theory.</w:t>
            </w:r>
          </w:p>
        </w:tc>
      </w:tr>
      <w:tr>
        <w:tc>
          <w:tcPr>
            <w:tcW w:type="dxa" w:w="3389"/>
          </w:tcPr>
          <w:p>
            <w:pPr>
              <w:spacing w:after="0"/>
            </w:pPr>
            <w:r>
              <w:rPr>
                <w:sz w:val="15"/>
              </w:rPr>
              <w:t>H7 Metric conflict</w:t>
            </w:r>
          </w:p>
        </w:tc>
        <w:tc>
          <w:tcPr>
            <w:tcW w:type="dxa" w:w="3389"/>
          </w:tcPr>
          <w:p>
            <w:pPr>
              <w:spacing w:after="0"/>
            </w:pPr>
            <w:r>
              <w:rPr>
                <w:sz w:val="15"/>
              </w:rPr>
              <w:t>SUPPORTED CONCEPTUALLY / TARGETED GAP</w:t>
            </w:r>
          </w:p>
        </w:tc>
        <w:tc>
          <w:tcPr>
            <w:tcW w:type="dxa" w:w="3389"/>
          </w:tcPr>
          <w:p>
            <w:pPr>
              <w:spacing w:after="0"/>
            </w:pPr>
            <w:r>
              <w:rPr>
                <w:sz w:val="15"/>
              </w:rPr>
              <w:t>Link #003 metric literacy to actual metric architecture.</w:t>
            </w:r>
          </w:p>
        </w:tc>
      </w:tr>
      <w:tr>
        <w:tc>
          <w:tcPr>
            <w:tcW w:type="dxa" w:w="3389"/>
          </w:tcPr>
          <w:p>
            <w:pPr>
              <w:spacing w:after="0"/>
            </w:pPr>
            <w:r>
              <w:rPr>
                <w:sz w:val="15"/>
              </w:rPr>
              <w:t>H8 Technology load</w:t>
            </w:r>
          </w:p>
        </w:tc>
        <w:tc>
          <w:tcPr>
            <w:tcW w:type="dxa" w:w="3389"/>
          </w:tcPr>
          <w:p>
            <w:pPr>
              <w:spacing w:after="0"/>
            </w:pPr>
            <w:r>
              <w:rPr>
                <w:sz w:val="15"/>
              </w:rPr>
              <w:t>MIXED / #007 DEPENDENCY</w:t>
            </w:r>
          </w:p>
        </w:tc>
        <w:tc>
          <w:tcPr>
            <w:tcW w:type="dxa" w:w="3389"/>
          </w:tcPr>
          <w:p>
            <w:pPr>
              <w:spacing w:after="0"/>
            </w:pPr>
            <w:r>
              <w:rPr>
                <w:sz w:val="15"/>
              </w:rPr>
              <w:t>Measure net workload and capacity use.</w:t>
            </w:r>
          </w:p>
        </w:tc>
      </w:tr>
      <w:tr>
        <w:tc>
          <w:tcPr>
            <w:tcW w:type="dxa" w:w="3389"/>
          </w:tcPr>
          <w:p>
            <w:pPr>
              <w:spacing w:after="0"/>
            </w:pPr>
            <w:r>
              <w:rPr>
                <w:sz w:val="15"/>
              </w:rPr>
              <w:t>H9 Supervisor structural ceiling</w:t>
            </w:r>
          </w:p>
        </w:tc>
        <w:tc>
          <w:tcPr>
            <w:tcW w:type="dxa" w:w="3389"/>
          </w:tcPr>
          <w:p>
            <w:pPr>
              <w:spacing w:after="0"/>
            </w:pPr>
            <w:r>
              <w:rPr>
                <w:sz w:val="15"/>
              </w:rPr>
              <w:t>SUPPORTED / #004 LINK</w:t>
            </w:r>
          </w:p>
        </w:tc>
        <w:tc>
          <w:tcPr>
            <w:tcW w:type="dxa" w:w="3389"/>
          </w:tcPr>
          <w:p>
            <w:pPr>
              <w:spacing w:after="0"/>
            </w:pPr>
            <w:r>
              <w:rPr>
                <w:sz w:val="15"/>
              </w:rPr>
              <w:t>Use multilevel designs separating leader/team/system variance.</w:t>
            </w:r>
          </w:p>
        </w:tc>
      </w:tr>
      <w:tr>
        <w:tc>
          <w:tcPr>
            <w:tcW w:type="dxa" w:w="3389"/>
          </w:tcPr>
          <w:p>
            <w:pPr>
              <w:spacing w:after="0"/>
            </w:pPr>
            <w:r>
              <w:rPr>
                <w:sz w:val="15"/>
              </w:rPr>
              <w:t>H10 Readiness structural ceiling</w:t>
            </w:r>
          </w:p>
        </w:tc>
        <w:tc>
          <w:tcPr>
            <w:tcW w:type="dxa" w:w="3389"/>
          </w:tcPr>
          <w:p>
            <w:pPr>
              <w:spacing w:after="0"/>
            </w:pPr>
            <w:r>
              <w:rPr>
                <w:sz w:val="15"/>
              </w:rPr>
              <w:t>RESOLVECX-SPECIFIC GAP / HIGH PRIORITY</w:t>
            </w:r>
          </w:p>
        </w:tc>
        <w:tc>
          <w:tcPr>
            <w:tcW w:type="dxa" w:w="3389"/>
          </w:tcPr>
          <w:p>
            <w:pPr>
              <w:spacing w:after="0"/>
            </w:pPr>
            <w:r>
              <w:rPr>
                <w:sz w:val="15"/>
              </w:rPr>
              <w:t>Directly test interaction of #001/#009 readiness with work design.</w:t>
            </w:r>
          </w:p>
        </w:tc>
      </w:tr>
      <w:tr>
        <w:tc>
          <w:tcPr>
            <w:tcW w:type="dxa" w:w="3389"/>
          </w:tcPr>
          <w:p>
            <w:pPr>
              <w:spacing w:after="0"/>
            </w:pPr>
            <w:r>
              <w:rPr>
                <w:sz w:val="15"/>
              </w:rPr>
              <w:t>H11 Heterogeneity</w:t>
            </w:r>
          </w:p>
        </w:tc>
        <w:tc>
          <w:tcPr>
            <w:tcW w:type="dxa" w:w="3389"/>
          </w:tcPr>
          <w:p>
            <w:pPr>
              <w:spacing w:after="0"/>
            </w:pPr>
            <w:r>
              <w:rPr>
                <w:sz w:val="15"/>
              </w:rPr>
              <w:t>ESTABLISHED PRINCIPLE</w:t>
            </w:r>
          </w:p>
        </w:tc>
        <w:tc>
          <w:tcPr>
            <w:tcW w:type="dxa" w:w="3389"/>
          </w:tcPr>
          <w:p>
            <w:pPr>
              <w:spacing w:after="0"/>
            </w:pPr>
            <w:r>
              <w:rPr>
                <w:sz w:val="15"/>
              </w:rPr>
              <w:t>Require stratification/context coding.</w:t>
            </w:r>
          </w:p>
        </w:tc>
      </w:tr>
      <w:tr>
        <w:tc>
          <w:tcPr>
            <w:tcW w:type="dxa" w:w="3389"/>
          </w:tcPr>
          <w:p>
            <w:pPr>
              <w:spacing w:after="0"/>
            </w:pPr>
            <w:r>
              <w:rPr>
                <w:sz w:val="15"/>
              </w:rPr>
              <w:t>H12 Multi-outcome sustainability</w:t>
            </w:r>
          </w:p>
        </w:tc>
        <w:tc>
          <w:tcPr>
            <w:tcW w:type="dxa" w:w="3389"/>
          </w:tcPr>
          <w:p>
            <w:pPr>
              <w:spacing w:after="0"/>
            </w:pPr>
            <w:r>
              <w:rPr>
                <w:sz w:val="15"/>
              </w:rPr>
              <w:t>ESTABLISHED DESIGN PRINCIPLE</w:t>
            </w:r>
          </w:p>
        </w:tc>
        <w:tc>
          <w:tcPr>
            <w:tcW w:type="dxa" w:w="3389"/>
          </w:tcPr>
          <w:p>
            <w:pPr>
              <w:spacing w:after="0"/>
            </w:pPr>
            <w:r>
              <w:rPr>
                <w:sz w:val="15"/>
              </w:rPr>
              <w:t>No productivity-only success claim.</w:t>
            </w:r>
          </w:p>
        </w:tc>
      </w:tr>
      <w:tr>
        <w:tc>
          <w:tcPr>
            <w:tcW w:type="dxa" w:w="3389"/>
          </w:tcPr>
          <w:p>
            <w:pPr>
              <w:spacing w:after="0"/>
            </w:pPr>
            <w:r>
              <w:rPr>
                <w:sz w:val="15"/>
              </w:rPr>
              <w:t>H13 Remote role-specific evidence</w:t>
            </w:r>
          </w:p>
        </w:tc>
        <w:tc>
          <w:tcPr>
            <w:tcW w:type="dxa" w:w="3389"/>
          </w:tcPr>
          <w:p>
            <w:pPr>
              <w:spacing w:after="0"/>
            </w:pPr>
            <w:r>
              <w:rPr>
                <w:sz w:val="15"/>
              </w:rPr>
              <w:t>EVIDENCE GAP</w:t>
            </w:r>
          </w:p>
        </w:tc>
        <w:tc>
          <w:tcPr>
            <w:tcW w:type="dxa" w:w="3389"/>
          </w:tcPr>
          <w:p>
            <w:pPr>
              <w:spacing w:after="0"/>
            </w:pPr>
            <w:r>
              <w:rPr>
                <w:sz w:val="15"/>
              </w:rPr>
              <w:t>Do not over-transfer generic telework evidence.</w:t>
            </w:r>
          </w:p>
        </w:tc>
      </w:tr>
      <w:tr>
        <w:tc>
          <w:tcPr>
            <w:tcW w:type="dxa" w:w="3389"/>
          </w:tcPr>
          <w:p>
            <w:pPr>
              <w:spacing w:after="0"/>
            </w:pPr>
            <w:r>
              <w:rPr>
                <w:sz w:val="15"/>
              </w:rPr>
              <w:t>H14 Redesign vs resilience</w:t>
            </w:r>
          </w:p>
        </w:tc>
        <w:tc>
          <w:tcPr>
            <w:tcW w:type="dxa" w:w="3389"/>
          </w:tcPr>
          <w:p>
            <w:pPr>
              <w:spacing w:after="0"/>
            </w:pPr>
            <w:r>
              <w:rPr>
                <w:sz w:val="15"/>
              </w:rPr>
              <w:t>RESOLVECX-SPECIFIC DECISION GAP</w:t>
            </w:r>
          </w:p>
        </w:tc>
        <w:tc>
          <w:tcPr>
            <w:tcW w:type="dxa" w:w="3389"/>
          </w:tcPr>
          <w:p>
            <w:pPr>
              <w:spacing w:after="0"/>
            </w:pPr>
            <w:r>
              <w:rPr>
                <w:sz w:val="15"/>
              </w:rPr>
              <w:t>Compare intervention classes where feasible.</w:t>
            </w:r>
          </w:p>
        </w:tc>
      </w:tr>
    </w:tbl>
    <w:p>
      <w:pPr>
        <w:pStyle w:val="Heading1"/>
      </w:pPr>
      <w:r>
        <w:t>8. Structural Ceiling Test</w:t>
      </w:r>
    </w:p>
    <w:p>
      <w:r>
        <w:t>The signature test in Study #010 is whether individual-level readiness continues to matter as structural adversity rises. This is an interaction question, not a claim that employees never matter or that all demanding work is harmful.</w:t>
      </w:r>
    </w:p>
    <w:p>
      <w:pPr>
        <w:pStyle w:val="ListBullet"/>
        <w:spacing w:after="20"/>
      </w:pPr>
      <w:r>
        <w:t>Estimate readiness × work-design interactions rather than comparing simple correlations.</w:t>
      </w:r>
    </w:p>
    <w:p>
      <w:pPr>
        <w:pStyle w:val="ListBullet"/>
        <w:spacing w:after="20"/>
      </w:pPr>
      <w:r>
        <w:t>Predefine structural adversity using separate observed domains; do not create a composite ceiling index prematurely.</w:t>
      </w:r>
    </w:p>
    <w:p>
      <w:pPr>
        <w:pStyle w:val="ListBullet"/>
        <w:spacing w:after="20"/>
      </w:pPr>
      <w:r>
        <w:t>Look for nonlinearities/thresholds where data support them.</w:t>
      </w:r>
    </w:p>
    <w:p>
      <w:pPr>
        <w:pStyle w:val="ListBullet"/>
        <w:spacing w:after="20"/>
      </w:pPr>
      <w:r>
        <w:t>Test whether supervisor support changes the slope but does not eliminate structural effects.</w:t>
      </w:r>
    </w:p>
    <w:p>
      <w:pPr>
        <w:pStyle w:val="ListBullet"/>
        <w:spacing w:after="20"/>
      </w:pPr>
      <w:r>
        <w:t>Compare modifiable structural interventions with individual preparation where causal designs are feasible.</w:t>
      </w:r>
    </w:p>
    <w:p>
      <w:pPr>
        <w:pStyle w:val="ListBullet"/>
        <w:spacing w:after="20"/>
      </w:pPr>
      <w:r>
        <w:t>If structural effects dominate, revise the ResolveCX solution toward employer operating-system change rather than worker remediation.</w:t>
      </w:r>
    </w:p>
    <w:p>
      <w:pPr>
        <w:pStyle w:val="Heading1"/>
      </w:pPr>
      <w:r>
        <w:t>9. Monitoring Taxonomy</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0B3A53"/>
          </w:tcPr>
          <w:p>
            <w:r>
              <w:rPr>
                <w:b/>
                <w:color w:val="FFFFFF"/>
                <w:sz w:val="15"/>
              </w:rPr>
              <w:t>Monitoring form</w:t>
            </w:r>
          </w:p>
        </w:tc>
        <w:tc>
          <w:tcPr>
            <w:tcW w:type="dxa" w:w="3389"/>
            <w:shd w:fill="0B3A53"/>
          </w:tcPr>
          <w:p>
            <w:r>
              <w:rPr>
                <w:b/>
                <w:color w:val="FFFFFF"/>
                <w:sz w:val="15"/>
              </w:rPr>
              <w:t>Examples</w:t>
            </w:r>
          </w:p>
        </w:tc>
        <w:tc>
          <w:tcPr>
            <w:tcW w:type="dxa" w:w="3389"/>
            <w:shd w:fill="0B3A53"/>
          </w:tcPr>
          <w:p>
            <w:r>
              <w:rPr>
                <w:b/>
                <w:color w:val="FFFFFF"/>
                <w:sz w:val="15"/>
              </w:rPr>
              <w:t>Required coding</w:t>
            </w:r>
          </w:p>
        </w:tc>
      </w:tr>
      <w:tr>
        <w:tc>
          <w:tcPr>
            <w:tcW w:type="dxa" w:w="3389"/>
          </w:tcPr>
          <w:p>
            <w:pPr>
              <w:spacing w:after="0"/>
            </w:pPr>
            <w:r>
              <w:rPr>
                <w:sz w:val="15"/>
              </w:rPr>
              <w:t>Developmental</w:t>
            </w:r>
          </w:p>
        </w:tc>
        <w:tc>
          <w:tcPr>
            <w:tcW w:type="dxa" w:w="3389"/>
          </w:tcPr>
          <w:p>
            <w:pPr>
              <w:spacing w:after="0"/>
            </w:pPr>
            <w:r>
              <w:rPr>
                <w:sz w:val="15"/>
              </w:rPr>
              <w:t>QA review, coaching sample, learning feedback</w:t>
            </w:r>
          </w:p>
        </w:tc>
        <w:tc>
          <w:tcPr>
            <w:tcW w:type="dxa" w:w="3389"/>
          </w:tcPr>
          <w:p>
            <w:pPr>
              <w:spacing w:after="0"/>
            </w:pPr>
            <w:r>
              <w:rPr>
                <w:sz w:val="15"/>
              </w:rPr>
              <w:t>Purpose, transparency, opportunity to improve</w:t>
            </w:r>
          </w:p>
        </w:tc>
      </w:tr>
      <w:tr>
        <w:tc>
          <w:tcPr>
            <w:tcW w:type="dxa" w:w="3389"/>
          </w:tcPr>
          <w:p>
            <w:pPr>
              <w:spacing w:after="0"/>
            </w:pPr>
            <w:r>
              <w:rPr>
                <w:sz w:val="15"/>
              </w:rPr>
              <w:t>Operational</w:t>
            </w:r>
          </w:p>
        </w:tc>
        <w:tc>
          <w:tcPr>
            <w:tcW w:type="dxa" w:w="3389"/>
          </w:tcPr>
          <w:p>
            <w:pPr>
              <w:spacing w:after="0"/>
            </w:pPr>
            <w:r>
              <w:rPr>
                <w:sz w:val="15"/>
              </w:rPr>
              <w:t>Queue/adherence/service management</w:t>
            </w:r>
          </w:p>
        </w:tc>
        <w:tc>
          <w:tcPr>
            <w:tcW w:type="dxa" w:w="3389"/>
          </w:tcPr>
          <w:p>
            <w:pPr>
              <w:spacing w:after="0"/>
            </w:pPr>
            <w:r>
              <w:rPr>
                <w:sz w:val="15"/>
              </w:rPr>
              <w:t>Controllability, frequency, consequences</w:t>
            </w:r>
          </w:p>
        </w:tc>
      </w:tr>
      <w:tr>
        <w:tc>
          <w:tcPr>
            <w:tcW w:type="dxa" w:w="3389"/>
          </w:tcPr>
          <w:p>
            <w:pPr>
              <w:spacing w:after="0"/>
            </w:pPr>
            <w:r>
              <w:rPr>
                <w:sz w:val="15"/>
              </w:rPr>
              <w:t>Performance evaluation</w:t>
            </w:r>
          </w:p>
        </w:tc>
        <w:tc>
          <w:tcPr>
            <w:tcW w:type="dxa" w:w="3389"/>
          </w:tcPr>
          <w:p>
            <w:pPr>
              <w:spacing w:after="0"/>
            </w:pPr>
            <w:r>
              <w:rPr>
                <w:sz w:val="15"/>
              </w:rPr>
              <w:t>Scorecards, ranking, incentive inputs</w:t>
            </w:r>
          </w:p>
        </w:tc>
        <w:tc>
          <w:tcPr>
            <w:tcW w:type="dxa" w:w="3389"/>
          </w:tcPr>
          <w:p>
            <w:pPr>
              <w:spacing w:after="0"/>
            </w:pPr>
            <w:r>
              <w:rPr>
                <w:sz w:val="15"/>
              </w:rPr>
              <w:t>Metric validity, conflict, stakes</w:t>
            </w:r>
          </w:p>
        </w:tc>
      </w:tr>
      <w:tr>
        <w:tc>
          <w:tcPr>
            <w:tcW w:type="dxa" w:w="3389"/>
          </w:tcPr>
          <w:p>
            <w:pPr>
              <w:spacing w:after="0"/>
            </w:pPr>
            <w:r>
              <w:rPr>
                <w:sz w:val="15"/>
              </w:rPr>
              <w:t>Surveillance/control</w:t>
            </w:r>
          </w:p>
        </w:tc>
        <w:tc>
          <w:tcPr>
            <w:tcW w:type="dxa" w:w="3389"/>
          </w:tcPr>
          <w:p>
            <w:pPr>
              <w:spacing w:after="0"/>
            </w:pPr>
            <w:r>
              <w:rPr>
                <w:sz w:val="15"/>
              </w:rPr>
              <w:t>Continuous behavioral tracking, opaque flags</w:t>
            </w:r>
          </w:p>
        </w:tc>
        <w:tc>
          <w:tcPr>
            <w:tcW w:type="dxa" w:w="3389"/>
          </w:tcPr>
          <w:p>
            <w:pPr>
              <w:spacing w:after="0"/>
            </w:pPr>
            <w:r>
              <w:rPr>
                <w:sz w:val="15"/>
              </w:rPr>
              <w:t>Transparency, proportionality, autonomy impact</w:t>
            </w:r>
          </w:p>
        </w:tc>
      </w:tr>
      <w:tr>
        <w:tc>
          <w:tcPr>
            <w:tcW w:type="dxa" w:w="3389"/>
          </w:tcPr>
          <w:p>
            <w:pPr>
              <w:spacing w:after="0"/>
            </w:pPr>
            <w:r>
              <w:rPr>
                <w:sz w:val="15"/>
              </w:rPr>
              <w:t>AI/algorithmic</w:t>
            </w:r>
          </w:p>
        </w:tc>
        <w:tc>
          <w:tcPr>
            <w:tcW w:type="dxa" w:w="3389"/>
          </w:tcPr>
          <w:p>
            <w:pPr>
              <w:spacing w:after="0"/>
            </w:pPr>
            <w:r>
              <w:rPr>
                <w:sz w:val="15"/>
              </w:rPr>
              <w:t>Automated QA, prediction, recommendations, performance flags</w:t>
            </w:r>
          </w:p>
        </w:tc>
        <w:tc>
          <w:tcPr>
            <w:tcW w:type="dxa" w:w="3389"/>
          </w:tcPr>
          <w:p>
            <w:pPr>
              <w:spacing w:after="0"/>
            </w:pPr>
            <w:r>
              <w:rPr>
                <w:sz w:val="15"/>
              </w:rPr>
              <w:t>Human review, contestability, error/fairness, #007 linkage</w:t>
            </w:r>
          </w:p>
        </w:tc>
      </w:tr>
    </w:tbl>
    <w:p>
      <w:pPr>
        <w:pStyle w:val="Heading1"/>
      </w:pPr>
      <w:r>
        <w:t>10. Recovery and Capacity Measurement</w:t>
      </w:r>
    </w:p>
    <w:p>
      <w:pPr>
        <w:pStyle w:val="ListBullet"/>
        <w:spacing w:after="20"/>
      </w:pPr>
      <w:r>
        <w:t>Measure actual occupancy/work intensity and offline time where systems permit, not only perceived workload.</w:t>
      </w:r>
    </w:p>
    <w:p>
      <w:pPr>
        <w:pStyle w:val="ListBullet"/>
        <w:spacing w:after="20"/>
      </w:pPr>
      <w:r>
        <w:t>Distinguish scheduled breaks from usable recovery; capture missed/interrupted breaks where lawful/available.</w:t>
      </w:r>
    </w:p>
    <w:p>
      <w:pPr>
        <w:pStyle w:val="ListBullet"/>
        <w:spacing w:after="20"/>
      </w:pPr>
      <w:r>
        <w:t>Code after-call work, difficult-contact recovery, coaching/training time and forced availability separately.</w:t>
      </w:r>
    </w:p>
    <w:p>
      <w:pPr>
        <w:pStyle w:val="ListBullet"/>
        <w:spacing w:after="20"/>
      </w:pPr>
      <w:r>
        <w:t>Use WFM data to distinguish demand spikes, chronic capacity deficits and shrinkage constraints.</w:t>
      </w:r>
    </w:p>
    <w:p>
      <w:pPr>
        <w:pStyle w:val="ListBullet"/>
        <w:spacing w:after="20"/>
      </w:pPr>
      <w:r>
        <w:t>Do not interpret high adherence as evidence that workload is sustainable.</w:t>
      </w:r>
    </w:p>
    <w:p>
      <w:pPr>
        <w:pStyle w:val="ListBullet"/>
        <w:spacing w:after="20"/>
      </w:pPr>
      <w:r>
        <w:t>Track whether AI/process efficiency creates recovery/higher-value capacity or merely raises expected volume.</w:t>
      </w:r>
    </w:p>
    <w:p>
      <w:pPr>
        <w:pStyle w:val="Heading1"/>
      </w:pPr>
      <w:r>
        <w:t>11. Primary Data Trigger Rules</w:t>
      </w:r>
    </w:p>
    <w:p>
      <w:pPr>
        <w:pStyle w:val="ListBullet"/>
        <w:spacing w:after="20"/>
      </w:pPr>
      <w:r>
        <w:t>Use employer WFM, QA, HRIS, schedule, absence, turnover and operational data before asking employees to estimate facts the systems already record.</w:t>
      </w:r>
    </w:p>
    <w:p>
      <w:pPr>
        <w:pStyle w:val="ListBullet"/>
        <w:spacing w:after="20"/>
      </w:pPr>
      <w:r>
        <w:t>Use validated job-demand/resource, autonomy, monitoring, emotional-labor and well-being measures where they fit; create new items only for contact-center-specific gaps.</w:t>
      </w:r>
    </w:p>
    <w:p>
      <w:pPr>
        <w:pStyle w:val="ListBullet"/>
        <w:spacing w:after="20"/>
      </w:pPr>
      <w:r>
        <w:t>Interviews should explain mechanisms and hidden work, not establish prevalence.</w:t>
      </w:r>
    </w:p>
    <w:p>
      <w:pPr>
        <w:pStyle w:val="ListBullet"/>
        <w:spacing w:after="20"/>
      </w:pPr>
      <w:r>
        <w:t>Collect repeated measures when testing sustainability; one-time sentiment cannot establish cumulative load or recovery.</w:t>
      </w:r>
    </w:p>
    <w:p>
      <w:pPr>
        <w:pStyle w:val="ListBullet"/>
        <w:spacing w:after="20"/>
      </w:pPr>
      <w:r>
        <w:t>Prefer natural experiments/staggered redesigns when employers change schedules, monitoring, staffing, tools or workflows.</w:t>
      </w:r>
    </w:p>
    <w:p>
      <w:pPr>
        <w:pStyle w:val="ListBullet"/>
        <w:spacing w:after="20"/>
      </w:pPr>
      <w:r>
        <w:t>Complete an Evidence Sufficiency Decision Record before new collection.</w:t>
      </w:r>
    </w:p>
    <w:p>
      <w:pPr>
        <w:pStyle w:val="Heading1"/>
      </w:pPr>
      <w:r>
        <w:t>12. Minimum Employer Work-Design Dataset</w:t>
      </w:r>
    </w:p>
    <w:tbl>
      <w:tblPr>
        <w:tblStyle w:val="TableGrid"/>
        <w:tblW w:type="auto" w:w="0"/>
        <w:jc w:val="center"/>
        <w:tblLook w:firstColumn="1" w:firstRow="1" w:lastColumn="0" w:lastRow="0" w:noHBand="0" w:noVBand="1" w:val="04A0"/>
      </w:tblPr>
      <w:tblGrid>
        <w:gridCol w:w="5083"/>
        <w:gridCol w:w="5083"/>
      </w:tblGrid>
      <w:tr>
        <w:tc>
          <w:tcPr>
            <w:tcW w:type="dxa" w:w="5083"/>
            <w:shd w:fill="0B3A53"/>
          </w:tcPr>
          <w:p>
            <w:r>
              <w:rPr>
                <w:b/>
                <w:color w:val="FFFFFF"/>
                <w:sz w:val="15"/>
              </w:rPr>
              <w:t>Domain</w:t>
            </w:r>
          </w:p>
        </w:tc>
        <w:tc>
          <w:tcPr>
            <w:tcW w:type="dxa" w:w="5083"/>
            <w:shd w:fill="0B3A53"/>
          </w:tcPr>
          <w:p>
            <w:r>
              <w:rPr>
                <w:b/>
                <w:color w:val="FFFFFF"/>
                <w:sz w:val="15"/>
              </w:rPr>
              <w:t>Minimum fields</w:t>
            </w:r>
          </w:p>
        </w:tc>
      </w:tr>
      <w:tr>
        <w:tc>
          <w:tcPr>
            <w:tcW w:type="dxa" w:w="5083"/>
          </w:tcPr>
          <w:p>
            <w:pPr>
              <w:spacing w:after="0"/>
            </w:pPr>
            <w:r>
              <w:rPr>
                <w:sz w:val="15"/>
              </w:rPr>
              <w:t>Demand</w:t>
            </w:r>
          </w:p>
        </w:tc>
        <w:tc>
          <w:tcPr>
            <w:tcW w:type="dxa" w:w="5083"/>
          </w:tcPr>
          <w:p>
            <w:pPr>
              <w:spacing w:after="0"/>
            </w:pPr>
            <w:r>
              <w:rPr>
                <w:sz w:val="15"/>
              </w:rPr>
              <w:t>Contacts, concurrency, backlog, volume by interval/channel</w:t>
            </w:r>
          </w:p>
        </w:tc>
      </w:tr>
      <w:tr>
        <w:tc>
          <w:tcPr>
            <w:tcW w:type="dxa" w:w="5083"/>
          </w:tcPr>
          <w:p>
            <w:pPr>
              <w:spacing w:after="0"/>
            </w:pPr>
            <w:r>
              <w:rPr>
                <w:sz w:val="15"/>
              </w:rPr>
              <w:t>Capacity</w:t>
            </w:r>
          </w:p>
        </w:tc>
        <w:tc>
          <w:tcPr>
            <w:tcW w:type="dxa" w:w="5083"/>
          </w:tcPr>
          <w:p>
            <w:pPr>
              <w:spacing w:after="0"/>
            </w:pPr>
            <w:r>
              <w:rPr>
                <w:sz w:val="15"/>
              </w:rPr>
              <w:t>Scheduled staff, actual staff, shrinkage, overtime, occupancy/availability where meaningful</w:t>
            </w:r>
          </w:p>
        </w:tc>
      </w:tr>
      <w:tr>
        <w:tc>
          <w:tcPr>
            <w:tcW w:type="dxa" w:w="5083"/>
          </w:tcPr>
          <w:p>
            <w:pPr>
              <w:spacing w:after="0"/>
            </w:pPr>
            <w:r>
              <w:rPr>
                <w:sz w:val="15"/>
              </w:rPr>
              <w:t>Schedule</w:t>
            </w:r>
          </w:p>
        </w:tc>
        <w:tc>
          <w:tcPr>
            <w:tcW w:type="dxa" w:w="5083"/>
          </w:tcPr>
          <w:p>
            <w:pPr>
              <w:spacing w:after="0"/>
            </w:pPr>
            <w:r>
              <w:rPr>
                <w:sz w:val="15"/>
              </w:rPr>
              <w:t>Shift timing, changes, predictability, breaks, overtime, flexibility mechanisms</w:t>
            </w:r>
          </w:p>
        </w:tc>
      </w:tr>
      <w:tr>
        <w:tc>
          <w:tcPr>
            <w:tcW w:type="dxa" w:w="5083"/>
          </w:tcPr>
          <w:p>
            <w:pPr>
              <w:spacing w:after="0"/>
            </w:pPr>
            <w:r>
              <w:rPr>
                <w:sz w:val="15"/>
              </w:rPr>
              <w:t>Monitoring</w:t>
            </w:r>
          </w:p>
        </w:tc>
        <w:tc>
          <w:tcPr>
            <w:tcW w:type="dxa" w:w="5083"/>
          </w:tcPr>
          <w:p>
            <w:pPr>
              <w:spacing w:after="0"/>
            </w:pPr>
            <w:r>
              <w:rPr>
                <w:sz w:val="15"/>
              </w:rPr>
              <w:t>Metrics collected, frequency, visibility, purpose, consequences, automated components</w:t>
            </w:r>
          </w:p>
        </w:tc>
      </w:tr>
      <w:tr>
        <w:tc>
          <w:tcPr>
            <w:tcW w:type="dxa" w:w="5083"/>
          </w:tcPr>
          <w:p>
            <w:pPr>
              <w:spacing w:after="0"/>
            </w:pPr>
            <w:r>
              <w:rPr>
                <w:sz w:val="15"/>
              </w:rPr>
              <w:t>Job</w:t>
            </w:r>
          </w:p>
        </w:tc>
        <w:tc>
          <w:tcPr>
            <w:tcW w:type="dxa" w:w="5083"/>
          </w:tcPr>
          <w:p>
            <w:pPr>
              <w:spacing w:after="0"/>
            </w:pPr>
            <w:r>
              <w:rPr>
                <w:sz w:val="15"/>
              </w:rPr>
              <w:t>Channel, task mix, complexity, sales/service expectations, authority/escalation</w:t>
            </w:r>
          </w:p>
        </w:tc>
      </w:tr>
      <w:tr>
        <w:tc>
          <w:tcPr>
            <w:tcW w:type="dxa" w:w="5083"/>
          </w:tcPr>
          <w:p>
            <w:pPr>
              <w:spacing w:after="0"/>
            </w:pPr>
            <w:r>
              <w:rPr>
                <w:sz w:val="15"/>
              </w:rPr>
              <w:t>Technology</w:t>
            </w:r>
          </w:p>
        </w:tc>
        <w:tc>
          <w:tcPr>
            <w:tcW w:type="dxa" w:w="5083"/>
          </w:tcPr>
          <w:p>
            <w:pPr>
              <w:spacing w:after="0"/>
            </w:pPr>
            <w:r>
              <w:rPr>
                <w:sz w:val="15"/>
              </w:rPr>
              <w:t>Systems/tools, major changes, AI use, outages, documentation burden</w:t>
            </w:r>
          </w:p>
        </w:tc>
      </w:tr>
      <w:tr>
        <w:tc>
          <w:tcPr>
            <w:tcW w:type="dxa" w:w="5083"/>
          </w:tcPr>
          <w:p>
            <w:pPr>
              <w:spacing w:after="0"/>
            </w:pPr>
            <w:r>
              <w:rPr>
                <w:sz w:val="15"/>
              </w:rPr>
              <w:t>Performance</w:t>
            </w:r>
          </w:p>
        </w:tc>
        <w:tc>
          <w:tcPr>
            <w:tcW w:type="dxa" w:w="5083"/>
          </w:tcPr>
          <w:p>
            <w:pPr>
              <w:spacing w:after="0"/>
            </w:pPr>
            <w:r>
              <w:rPr>
                <w:sz w:val="15"/>
              </w:rPr>
              <w:t>Quality, resolution, productivity, error/rework</w:t>
            </w:r>
          </w:p>
        </w:tc>
      </w:tr>
      <w:tr>
        <w:tc>
          <w:tcPr>
            <w:tcW w:type="dxa" w:w="5083"/>
          </w:tcPr>
          <w:p>
            <w:pPr>
              <w:spacing w:after="0"/>
            </w:pPr>
            <w:r>
              <w:rPr>
                <w:sz w:val="15"/>
              </w:rPr>
              <w:t>Employee</w:t>
            </w:r>
          </w:p>
        </w:tc>
        <w:tc>
          <w:tcPr>
            <w:tcW w:type="dxa" w:w="5083"/>
          </w:tcPr>
          <w:p>
            <w:pPr>
              <w:spacing w:after="0"/>
            </w:pPr>
            <w:r>
              <w:rPr>
                <w:sz w:val="15"/>
              </w:rPr>
              <w:t>Tenure, training/readiness measures, team/supervisor; governance-appropriate demographics for equity analysis</w:t>
            </w:r>
          </w:p>
        </w:tc>
      </w:tr>
      <w:tr>
        <w:tc>
          <w:tcPr>
            <w:tcW w:type="dxa" w:w="5083"/>
          </w:tcPr>
          <w:p>
            <w:pPr>
              <w:spacing w:after="0"/>
            </w:pPr>
            <w:r>
              <w:rPr>
                <w:sz w:val="15"/>
              </w:rPr>
              <w:t>Sustainability</w:t>
            </w:r>
          </w:p>
        </w:tc>
        <w:tc>
          <w:tcPr>
            <w:tcW w:type="dxa" w:w="5083"/>
          </w:tcPr>
          <w:p>
            <w:pPr>
              <w:spacing w:after="0"/>
            </w:pPr>
            <w:r>
              <w:rPr>
                <w:sz w:val="15"/>
              </w:rPr>
              <w:t>Absence, transfer, turnover, validated well-being/recovery measures where collected</w:t>
            </w:r>
          </w:p>
        </w:tc>
      </w:tr>
      <w:tr>
        <w:tc>
          <w:tcPr>
            <w:tcW w:type="dxa" w:w="5083"/>
          </w:tcPr>
          <w:p>
            <w:pPr>
              <w:spacing w:after="0"/>
            </w:pPr>
            <w:r>
              <w:rPr>
                <w:sz w:val="15"/>
              </w:rPr>
              <w:t>Customer</w:t>
            </w:r>
          </w:p>
        </w:tc>
        <w:tc>
          <w:tcPr>
            <w:tcW w:type="dxa" w:w="5083"/>
          </w:tcPr>
          <w:p>
            <w:pPr>
              <w:spacing w:after="0"/>
            </w:pPr>
            <w:r>
              <w:rPr>
                <w:sz w:val="15"/>
              </w:rPr>
              <w:t>Repeat contacts, escalations, complaints, resolution/access where available</w:t>
            </w:r>
          </w:p>
        </w:tc>
      </w:tr>
    </w:tbl>
    <w:p>
      <w:pPr>
        <w:pStyle w:val="Heading1"/>
      </w:pPr>
      <w:r>
        <w:t>13. Analysis Plan</w:t>
      </w:r>
    </w:p>
    <w:p>
      <w:pPr>
        <w:pStyle w:val="ListBullet"/>
        <w:spacing w:after="20"/>
      </w:pPr>
      <w:r>
        <w:t>Use multilevel models where employees are nested in teams/supervisors/sites/employers.</w:t>
      </w:r>
    </w:p>
    <w:p>
      <w:pPr>
        <w:pStyle w:val="ListBullet"/>
        <w:spacing w:after="20"/>
      </w:pPr>
      <w:r>
        <w:t>Separate objective operational exposure from employee perception while analyzing both.</w:t>
      </w:r>
    </w:p>
    <w:p>
      <w:pPr>
        <w:pStyle w:val="ListBullet"/>
        <w:spacing w:after="20"/>
      </w:pPr>
      <w:r>
        <w:t>Model demands and resources jointly and test interactions/nonlinearities where justified.</w:t>
      </w:r>
    </w:p>
    <w:p>
      <w:pPr>
        <w:pStyle w:val="ListBullet"/>
        <w:spacing w:after="20"/>
      </w:pPr>
      <w:r>
        <w:t>Use longitudinal/repeated measures to test cumulative load and recovery.</w:t>
      </w:r>
    </w:p>
    <w:p>
      <w:pPr>
        <w:pStyle w:val="ListBullet"/>
        <w:spacing w:after="20"/>
      </w:pPr>
      <w:r>
        <w:t>Control for pay, labor market, tenure, role complexity, channel, work arrangement and major change events.</w:t>
      </w:r>
    </w:p>
    <w:p>
      <w:pPr>
        <w:pStyle w:val="ListBullet"/>
        <w:spacing w:after="20"/>
      </w:pPr>
      <w:r>
        <w:t>Analyze productivity jointly with quality/customer/sustainability outcomes.</w:t>
      </w:r>
    </w:p>
    <w:p>
      <w:pPr>
        <w:pStyle w:val="ListBullet"/>
        <w:spacing w:after="20"/>
      </w:pPr>
      <w:r>
        <w:t>Test readiness × structural-adversity and supervisor × structural-adversity interactions.</w:t>
      </w:r>
    </w:p>
    <w:p>
      <w:pPr>
        <w:pStyle w:val="ListBullet"/>
        <w:spacing w:after="20"/>
      </w:pPr>
      <w:r>
        <w:t>Use causal/quasi-experimental analysis for redesign interventions where feasible.</w:t>
      </w:r>
    </w:p>
    <w:p>
      <w:pPr>
        <w:pStyle w:val="ListBullet"/>
        <w:spacing w:after="20"/>
      </w:pPr>
      <w:r>
        <w:t>Report heterogeneous effects rather than forcing a universal “best” work design.</w:t>
      </w:r>
    </w:p>
    <w:p>
      <w:pPr>
        <w:pStyle w:val="ListBullet"/>
        <w:spacing w:after="20"/>
      </w:pPr>
      <w:r>
        <w:t>Compare structural redesign with individual-focused alternatives when decision-relevant.</w:t>
      </w:r>
    </w:p>
    <w:p>
      <w:pPr>
        <w:pStyle w:val="Heading1"/>
      </w:pPr>
      <w:r>
        <w:t>14. Falsification Register</w:t>
      </w:r>
    </w:p>
    <w:tbl>
      <w:tblPr>
        <w:tblStyle w:val="TableGrid"/>
        <w:tblW w:type="auto" w:w="0"/>
        <w:jc w:val="center"/>
        <w:tblLook w:firstColumn="1" w:firstRow="1" w:lastColumn="0" w:lastRow="0" w:noHBand="0" w:noVBand="1" w:val="04A0"/>
      </w:tblPr>
      <w:tblGrid>
        <w:gridCol w:w="5083"/>
        <w:gridCol w:w="5083"/>
      </w:tblGrid>
      <w:tr>
        <w:tc>
          <w:tcPr>
            <w:tcW w:type="dxa" w:w="5083"/>
            <w:shd w:fill="0B3A53"/>
          </w:tcPr>
          <w:p>
            <w:r>
              <w:rPr>
                <w:b/>
                <w:color w:val="FFFFFF"/>
                <w:sz w:val="14"/>
              </w:rPr>
              <w:t>ID</w:t>
            </w:r>
          </w:p>
        </w:tc>
        <w:tc>
          <w:tcPr>
            <w:tcW w:type="dxa" w:w="5083"/>
            <w:shd w:fill="0B3A53"/>
          </w:tcPr>
          <w:p>
            <w:r>
              <w:rPr>
                <w:b/>
                <w:color w:val="FFFFFF"/>
                <w:sz w:val="14"/>
              </w:rPr>
              <w:t>Condition that weakens, narrows or disproves the thesis</w:t>
            </w:r>
          </w:p>
        </w:tc>
      </w:tr>
      <w:tr>
        <w:tc>
          <w:tcPr>
            <w:tcW w:type="dxa" w:w="5083"/>
          </w:tcPr>
          <w:p>
            <w:pPr>
              <w:spacing w:after="0"/>
            </w:pPr>
            <w:r>
              <w:rPr>
                <w:sz w:val="14"/>
              </w:rPr>
              <w:t>F1</w:t>
            </w:r>
          </w:p>
        </w:tc>
        <w:tc>
          <w:tcPr>
            <w:tcW w:type="dxa" w:w="5083"/>
          </w:tcPr>
          <w:p>
            <w:pPr>
              <w:spacing w:after="0"/>
            </w:pPr>
            <w:r>
              <w:rPr>
                <w:sz w:val="14"/>
              </w:rPr>
              <w:t>Work-design variables add little explanatory value after employee readiness, pay, labor market and leadership are controlled.</w:t>
            </w:r>
          </w:p>
        </w:tc>
      </w:tr>
      <w:tr>
        <w:tc>
          <w:tcPr>
            <w:tcW w:type="dxa" w:w="5083"/>
          </w:tcPr>
          <w:p>
            <w:pPr>
              <w:spacing w:after="0"/>
            </w:pPr>
            <w:r>
              <w:rPr>
                <w:sz w:val="14"/>
              </w:rPr>
              <w:t>F2</w:t>
            </w:r>
          </w:p>
        </w:tc>
        <w:tc>
          <w:tcPr>
            <w:tcW w:type="dxa" w:w="5083"/>
          </w:tcPr>
          <w:p>
            <w:pPr>
              <w:spacing w:after="0"/>
            </w:pPr>
            <w:r>
              <w:rPr>
                <w:sz w:val="14"/>
              </w:rPr>
              <w:t>High demands do not predict worse sustainability when measured objectively and longitudinally.</w:t>
            </w:r>
          </w:p>
        </w:tc>
      </w:tr>
      <w:tr>
        <w:tc>
          <w:tcPr>
            <w:tcW w:type="dxa" w:w="5083"/>
          </w:tcPr>
          <w:p>
            <w:pPr>
              <w:spacing w:after="0"/>
            </w:pPr>
            <w:r>
              <w:rPr>
                <w:sz w:val="14"/>
              </w:rPr>
              <w:t>F3</w:t>
            </w:r>
          </w:p>
        </w:tc>
        <w:tc>
          <w:tcPr>
            <w:tcW w:type="dxa" w:w="5083"/>
          </w:tcPr>
          <w:p>
            <w:pPr>
              <w:spacing w:after="0"/>
            </w:pPr>
            <w:r>
              <w:rPr>
                <w:sz w:val="14"/>
              </w:rPr>
              <w:t>Autonomy/control effects fail replication or materially worsen quality/compliance in relevant roles.</w:t>
            </w:r>
          </w:p>
        </w:tc>
      </w:tr>
      <w:tr>
        <w:tc>
          <w:tcPr>
            <w:tcW w:type="dxa" w:w="5083"/>
          </w:tcPr>
          <w:p>
            <w:pPr>
              <w:spacing w:after="0"/>
            </w:pPr>
            <w:r>
              <w:rPr>
                <w:sz w:val="14"/>
              </w:rPr>
              <w:t>F4</w:t>
            </w:r>
          </w:p>
        </w:tc>
        <w:tc>
          <w:tcPr>
            <w:tcW w:type="dxa" w:w="5083"/>
          </w:tcPr>
          <w:p>
            <w:pPr>
              <w:spacing w:after="0"/>
            </w:pPr>
            <w:r>
              <w:rPr>
                <w:sz w:val="14"/>
              </w:rPr>
              <w:t>Monitoring intensity/purpose shows no meaningful relationship to well-being, behavior or performance.</w:t>
            </w:r>
          </w:p>
        </w:tc>
      </w:tr>
      <w:tr>
        <w:tc>
          <w:tcPr>
            <w:tcW w:type="dxa" w:w="5083"/>
          </w:tcPr>
          <w:p>
            <w:pPr>
              <w:spacing w:after="0"/>
            </w:pPr>
            <w:r>
              <w:rPr>
                <w:sz w:val="14"/>
              </w:rPr>
              <w:t>F5</w:t>
            </w:r>
          </w:p>
        </w:tc>
        <w:tc>
          <w:tcPr>
            <w:tcW w:type="dxa" w:w="5083"/>
          </w:tcPr>
          <w:p>
            <w:pPr>
              <w:spacing w:after="0"/>
            </w:pPr>
            <w:r>
              <w:rPr>
                <w:sz w:val="14"/>
              </w:rPr>
              <w:t>Recovery opportunity does not predict sustainability beyond schedule and workload.</w:t>
            </w:r>
          </w:p>
        </w:tc>
      </w:tr>
      <w:tr>
        <w:tc>
          <w:tcPr>
            <w:tcW w:type="dxa" w:w="5083"/>
          </w:tcPr>
          <w:p>
            <w:pPr>
              <w:spacing w:after="0"/>
            </w:pPr>
            <w:r>
              <w:rPr>
                <w:sz w:val="14"/>
              </w:rPr>
              <w:t>F6</w:t>
            </w:r>
          </w:p>
        </w:tc>
        <w:tc>
          <w:tcPr>
            <w:tcW w:type="dxa" w:w="5083"/>
          </w:tcPr>
          <w:p>
            <w:pPr>
              <w:spacing w:after="0"/>
            </w:pPr>
            <w:r>
              <w:rPr>
                <w:sz w:val="14"/>
              </w:rPr>
              <w:t>Schedule quality has negligible effects after employee preferences and pay are considered.</w:t>
            </w:r>
          </w:p>
        </w:tc>
      </w:tr>
      <w:tr>
        <w:tc>
          <w:tcPr>
            <w:tcW w:type="dxa" w:w="5083"/>
          </w:tcPr>
          <w:p>
            <w:pPr>
              <w:spacing w:after="0"/>
            </w:pPr>
            <w:r>
              <w:rPr>
                <w:sz w:val="14"/>
              </w:rPr>
              <w:t>F7</w:t>
            </w:r>
          </w:p>
        </w:tc>
        <w:tc>
          <w:tcPr>
            <w:tcW w:type="dxa" w:w="5083"/>
          </w:tcPr>
          <w:p>
            <w:pPr>
              <w:spacing w:after="0"/>
            </w:pPr>
            <w:r>
              <w:rPr>
                <w:sz w:val="14"/>
              </w:rPr>
              <w:t>Emotional demand adds no explanatory value beyond volume/complexity.</w:t>
            </w:r>
          </w:p>
        </w:tc>
      </w:tr>
      <w:tr>
        <w:tc>
          <w:tcPr>
            <w:tcW w:type="dxa" w:w="5083"/>
          </w:tcPr>
          <w:p>
            <w:pPr>
              <w:spacing w:after="0"/>
            </w:pPr>
            <w:r>
              <w:rPr>
                <w:sz w:val="14"/>
              </w:rPr>
              <w:t>F8</w:t>
            </w:r>
          </w:p>
        </w:tc>
        <w:tc>
          <w:tcPr>
            <w:tcW w:type="dxa" w:w="5083"/>
          </w:tcPr>
          <w:p>
            <w:pPr>
              <w:spacing w:after="0"/>
            </w:pPr>
            <w:r>
              <w:rPr>
                <w:sz w:val="14"/>
              </w:rPr>
              <w:t>Metric conflict is not associated with role conflict, gaming, stress or quality tradeoffs.</w:t>
            </w:r>
          </w:p>
        </w:tc>
      </w:tr>
      <w:tr>
        <w:tc>
          <w:tcPr>
            <w:tcW w:type="dxa" w:w="5083"/>
          </w:tcPr>
          <w:p>
            <w:pPr>
              <w:spacing w:after="0"/>
            </w:pPr>
            <w:r>
              <w:rPr>
                <w:sz w:val="14"/>
              </w:rPr>
              <w:t>F9</w:t>
            </w:r>
          </w:p>
        </w:tc>
        <w:tc>
          <w:tcPr>
            <w:tcW w:type="dxa" w:w="5083"/>
          </w:tcPr>
          <w:p>
            <w:pPr>
              <w:spacing w:after="0"/>
            </w:pPr>
            <w:r>
              <w:rPr>
                <w:sz w:val="14"/>
              </w:rPr>
              <w:t>AI/technology consistently reduces net burden without intensification or surveillance costs.</w:t>
            </w:r>
          </w:p>
        </w:tc>
      </w:tr>
      <w:tr>
        <w:tc>
          <w:tcPr>
            <w:tcW w:type="dxa" w:w="5083"/>
          </w:tcPr>
          <w:p>
            <w:pPr>
              <w:spacing w:after="0"/>
            </w:pPr>
            <w:r>
              <w:rPr>
                <w:sz w:val="14"/>
              </w:rPr>
              <w:t>F10</w:t>
            </w:r>
          </w:p>
        </w:tc>
        <w:tc>
          <w:tcPr>
            <w:tcW w:type="dxa" w:w="5083"/>
          </w:tcPr>
          <w:p>
            <w:pPr>
              <w:spacing w:after="0"/>
            </w:pPr>
            <w:r>
              <w:rPr>
                <w:sz w:val="14"/>
              </w:rPr>
              <w:t>Supportive supervisors fully offset structural adversity, weakening the structural-ceiling thesis.</w:t>
            </w:r>
          </w:p>
        </w:tc>
      </w:tr>
      <w:tr>
        <w:tc>
          <w:tcPr>
            <w:tcW w:type="dxa" w:w="5083"/>
          </w:tcPr>
          <w:p>
            <w:pPr>
              <w:spacing w:after="0"/>
            </w:pPr>
            <w:r>
              <w:rPr>
                <w:sz w:val="14"/>
              </w:rPr>
              <w:t>F11</w:t>
            </w:r>
          </w:p>
        </w:tc>
        <w:tc>
          <w:tcPr>
            <w:tcW w:type="dxa" w:w="5083"/>
          </w:tcPr>
          <w:p>
            <w:pPr>
              <w:spacing w:after="0"/>
            </w:pPr>
            <w:r>
              <w:rPr>
                <w:sz w:val="14"/>
              </w:rPr>
              <w:t>Highly ready employees maintain benefits even under severe adverse work design, weakening the readiness-ceiling thesis.</w:t>
            </w:r>
          </w:p>
        </w:tc>
      </w:tr>
      <w:tr>
        <w:tc>
          <w:tcPr>
            <w:tcW w:type="dxa" w:w="5083"/>
          </w:tcPr>
          <w:p>
            <w:pPr>
              <w:spacing w:after="0"/>
            </w:pPr>
            <w:r>
              <w:rPr>
                <w:sz w:val="14"/>
              </w:rPr>
              <w:t>F12</w:t>
            </w:r>
          </w:p>
        </w:tc>
        <w:tc>
          <w:tcPr>
            <w:tcW w:type="dxa" w:w="5083"/>
          </w:tcPr>
          <w:p>
            <w:pPr>
              <w:spacing w:after="0"/>
            </w:pPr>
            <w:r>
              <w:rPr>
                <w:sz w:val="14"/>
              </w:rPr>
              <w:t>Productivity gains under intensive designs persist without customer, quality, retention or well-being costs.</w:t>
            </w:r>
          </w:p>
        </w:tc>
      </w:tr>
      <w:tr>
        <w:tc>
          <w:tcPr>
            <w:tcW w:type="dxa" w:w="5083"/>
          </w:tcPr>
          <w:p>
            <w:pPr>
              <w:spacing w:after="0"/>
            </w:pPr>
            <w:r>
              <w:rPr>
                <w:sz w:val="14"/>
              </w:rPr>
              <w:t>F13</w:t>
            </w:r>
          </w:p>
        </w:tc>
        <w:tc>
          <w:tcPr>
            <w:tcW w:type="dxa" w:w="5083"/>
          </w:tcPr>
          <w:p>
            <w:pPr>
              <w:spacing w:after="0"/>
            </w:pPr>
            <w:r>
              <w:rPr>
                <w:sz w:val="14"/>
              </w:rPr>
              <w:t>Remote contact-center effects match general telework evidence closely enough that role-specific research adds little.</w:t>
            </w:r>
          </w:p>
        </w:tc>
      </w:tr>
      <w:tr>
        <w:tc>
          <w:tcPr>
            <w:tcW w:type="dxa" w:w="5083"/>
          </w:tcPr>
          <w:p>
            <w:pPr>
              <w:spacing w:after="0"/>
            </w:pPr>
            <w:r>
              <w:rPr>
                <w:sz w:val="14"/>
              </w:rPr>
              <w:t>F14</w:t>
            </w:r>
          </w:p>
        </w:tc>
        <w:tc>
          <w:tcPr>
            <w:tcW w:type="dxa" w:w="5083"/>
          </w:tcPr>
          <w:p>
            <w:pPr>
              <w:spacing w:after="0"/>
            </w:pPr>
            <w:r>
              <w:rPr>
                <w:sz w:val="14"/>
              </w:rPr>
              <w:t>Individual resilience/readiness interventions outperform structural redesign for structurally driven outcomes.</w:t>
            </w:r>
          </w:p>
        </w:tc>
      </w:tr>
      <w:tr>
        <w:tc>
          <w:tcPr>
            <w:tcW w:type="dxa" w:w="5083"/>
          </w:tcPr>
          <w:p>
            <w:pPr>
              <w:spacing w:after="0"/>
            </w:pPr>
            <w:r>
              <w:rPr>
                <w:sz w:val="14"/>
              </w:rPr>
              <w:t>F15</w:t>
            </w:r>
          </w:p>
        </w:tc>
        <w:tc>
          <w:tcPr>
            <w:tcW w:type="dxa" w:w="5083"/>
          </w:tcPr>
          <w:p>
            <w:pPr>
              <w:spacing w:after="0"/>
            </w:pPr>
            <w:r>
              <w:rPr>
                <w:sz w:val="14"/>
              </w:rPr>
              <w:t>Structural effects are employer-specific and fail replication across contexts.</w:t>
            </w:r>
          </w:p>
        </w:tc>
      </w:tr>
      <w:tr>
        <w:tc>
          <w:tcPr>
            <w:tcW w:type="dxa" w:w="5083"/>
          </w:tcPr>
          <w:p>
            <w:pPr>
              <w:spacing w:after="0"/>
            </w:pPr>
            <w:r>
              <w:rPr>
                <w:sz w:val="14"/>
              </w:rPr>
              <w:t>F16</w:t>
            </w:r>
          </w:p>
        </w:tc>
        <w:tc>
          <w:tcPr>
            <w:tcW w:type="dxa" w:w="5083"/>
          </w:tcPr>
          <w:p>
            <w:pPr>
              <w:spacing w:after="0"/>
            </w:pPr>
            <w:r>
              <w:rPr>
                <w:sz w:val="14"/>
              </w:rPr>
              <w:t>Observed work-design effects disappear after reverse causality/selection/change-event controls.</w:t>
            </w:r>
          </w:p>
        </w:tc>
      </w:tr>
      <w:tr>
        <w:tc>
          <w:tcPr>
            <w:tcW w:type="dxa" w:w="5083"/>
          </w:tcPr>
          <w:p>
            <w:pPr>
              <w:spacing w:after="0"/>
            </w:pPr>
            <w:r>
              <w:rPr>
                <w:sz w:val="14"/>
              </w:rPr>
              <w:t>F17</w:t>
            </w:r>
          </w:p>
        </w:tc>
        <w:tc>
          <w:tcPr>
            <w:tcW w:type="dxa" w:w="5083"/>
          </w:tcPr>
          <w:p>
            <w:pPr>
              <w:spacing w:after="0"/>
            </w:pPr>
            <w:r>
              <w:rPr>
                <w:sz w:val="14"/>
              </w:rPr>
              <w:t>Redesign improves employee outcomes but materially damages customer access, quality or economics.</w:t>
            </w:r>
          </w:p>
        </w:tc>
      </w:tr>
      <w:tr>
        <w:tc>
          <w:tcPr>
            <w:tcW w:type="dxa" w:w="5083"/>
          </w:tcPr>
          <w:p>
            <w:pPr>
              <w:spacing w:after="0"/>
            </w:pPr>
            <w:r>
              <w:rPr>
                <w:sz w:val="14"/>
              </w:rPr>
              <w:t>F18</w:t>
            </w:r>
          </w:p>
        </w:tc>
        <w:tc>
          <w:tcPr>
            <w:tcW w:type="dxa" w:w="5083"/>
          </w:tcPr>
          <w:p>
            <w:pPr>
              <w:spacing w:after="0"/>
            </w:pPr>
            <w:r>
              <w:rPr>
                <w:sz w:val="14"/>
              </w:rPr>
              <w:t>The cost of structural redesign exceeds validated benefits and simpler alternatives dominate.</w:t>
            </w:r>
          </w:p>
        </w:tc>
      </w:tr>
    </w:tbl>
    <w:p>
      <w:pPr>
        <w:pStyle w:val="Heading1"/>
      </w:pPr>
      <w:r>
        <w:t>15. Claim Ladder</w:t>
      </w:r>
    </w:p>
    <w:tbl>
      <w:tblPr>
        <w:tblStyle w:val="TableGrid"/>
        <w:tblW w:type="auto" w:w="0"/>
        <w:jc w:val="center"/>
        <w:tblLook w:firstColumn="1" w:firstRow="1" w:lastColumn="0" w:lastRow="0" w:noHBand="0" w:noVBand="1" w:val="04A0"/>
      </w:tblPr>
      <w:tblGrid>
        <w:gridCol w:w="5083"/>
        <w:gridCol w:w="5083"/>
      </w:tblGrid>
      <w:tr>
        <w:tc>
          <w:tcPr>
            <w:tcW w:type="dxa" w:w="5083"/>
            <w:shd w:fill="0B3A53"/>
          </w:tcPr>
          <w:p>
            <w:r>
              <w:rPr>
                <w:b/>
                <w:color w:val="FFFFFF"/>
                <w:sz w:val="15"/>
              </w:rPr>
              <w:t>Level</w:t>
            </w:r>
          </w:p>
        </w:tc>
        <w:tc>
          <w:tcPr>
            <w:tcW w:type="dxa" w:w="5083"/>
            <w:shd w:fill="0B3A53"/>
          </w:tcPr>
          <w:p>
            <w:r>
              <w:rPr>
                <w:b/>
                <w:color w:val="FFFFFF"/>
                <w:sz w:val="15"/>
              </w:rPr>
              <w:t>Permitted claim</w:t>
            </w:r>
          </w:p>
        </w:tc>
      </w:tr>
      <w:tr>
        <w:tc>
          <w:tcPr>
            <w:tcW w:type="dxa" w:w="5083"/>
          </w:tcPr>
          <w:p>
            <w:pPr>
              <w:spacing w:after="0"/>
            </w:pPr>
            <w:r>
              <w:rPr>
                <w:sz w:val="15"/>
              </w:rPr>
              <w:t>0 Observation</w:t>
            </w:r>
          </w:p>
        </w:tc>
        <w:tc>
          <w:tcPr>
            <w:tcW w:type="dxa" w:w="5083"/>
          </w:tcPr>
          <w:p>
            <w:pPr>
              <w:spacing w:after="0"/>
            </w:pPr>
            <w:r>
              <w:rPr>
                <w:sz w:val="15"/>
              </w:rPr>
              <w:t>A work-design condition is reported/observed.</w:t>
            </w:r>
          </w:p>
        </w:tc>
      </w:tr>
      <w:tr>
        <w:tc>
          <w:tcPr>
            <w:tcW w:type="dxa" w:w="5083"/>
          </w:tcPr>
          <w:p>
            <w:pPr>
              <w:spacing w:after="0"/>
            </w:pPr>
            <w:r>
              <w:rPr>
                <w:sz w:val="15"/>
              </w:rPr>
              <w:t>1 External foundation</w:t>
            </w:r>
          </w:p>
        </w:tc>
        <w:tc>
          <w:tcPr>
            <w:tcW w:type="dxa" w:w="5083"/>
          </w:tcPr>
          <w:p>
            <w:pPr>
              <w:spacing w:after="0"/>
            </w:pPr>
            <w:r>
              <w:rPr>
                <w:sz w:val="15"/>
              </w:rPr>
              <w:t>Prior research supports a plausible mechanism.</w:t>
            </w:r>
          </w:p>
        </w:tc>
      </w:tr>
      <w:tr>
        <w:tc>
          <w:tcPr>
            <w:tcW w:type="dxa" w:w="5083"/>
          </w:tcPr>
          <w:p>
            <w:pPr>
              <w:spacing w:after="0"/>
            </w:pPr>
            <w:r>
              <w:rPr>
                <w:sz w:val="15"/>
              </w:rPr>
              <w:t>2 Association</w:t>
            </w:r>
          </w:p>
        </w:tc>
        <w:tc>
          <w:tcPr>
            <w:tcW w:type="dxa" w:w="5083"/>
          </w:tcPr>
          <w:p>
            <w:pPr>
              <w:spacing w:after="0"/>
            </w:pPr>
            <w:r>
              <w:rPr>
                <w:sz w:val="15"/>
              </w:rPr>
              <w:t>Work design is associated with defined outcomes.</w:t>
            </w:r>
          </w:p>
        </w:tc>
      </w:tr>
      <w:tr>
        <w:tc>
          <w:tcPr>
            <w:tcW w:type="dxa" w:w="5083"/>
          </w:tcPr>
          <w:p>
            <w:pPr>
              <w:spacing w:after="0"/>
            </w:pPr>
            <w:r>
              <w:rPr>
                <w:sz w:val="15"/>
              </w:rPr>
              <w:t>3 Prospective prediction</w:t>
            </w:r>
          </w:p>
        </w:tc>
        <w:tc>
          <w:tcPr>
            <w:tcW w:type="dxa" w:w="5083"/>
          </w:tcPr>
          <w:p>
            <w:pPr>
              <w:spacing w:after="0"/>
            </w:pPr>
            <w:r>
              <w:rPr>
                <w:sz w:val="15"/>
              </w:rPr>
              <w:t>Measured design conditions predict later sustainability/performance.</w:t>
            </w:r>
          </w:p>
        </w:tc>
      </w:tr>
      <w:tr>
        <w:tc>
          <w:tcPr>
            <w:tcW w:type="dxa" w:w="5083"/>
          </w:tcPr>
          <w:p>
            <w:pPr>
              <w:spacing w:after="0"/>
            </w:pPr>
            <w:r>
              <w:rPr>
                <w:sz w:val="15"/>
              </w:rPr>
              <w:t>4 Comparative redesign effect</w:t>
            </w:r>
          </w:p>
        </w:tc>
        <w:tc>
          <w:tcPr>
            <w:tcW w:type="dxa" w:w="5083"/>
          </w:tcPr>
          <w:p>
            <w:pPr>
              <w:spacing w:after="0"/>
            </w:pPr>
            <w:r>
              <w:rPr>
                <w:sz w:val="15"/>
              </w:rPr>
              <w:t>A work-design change improves/worsens outcomes relative to a credible counterfactual.</w:t>
            </w:r>
          </w:p>
        </w:tc>
      </w:tr>
      <w:tr>
        <w:tc>
          <w:tcPr>
            <w:tcW w:type="dxa" w:w="5083"/>
          </w:tcPr>
          <w:p>
            <w:pPr>
              <w:spacing w:after="0"/>
            </w:pPr>
            <w:r>
              <w:rPr>
                <w:sz w:val="15"/>
              </w:rPr>
              <w:t>5 Replication</w:t>
            </w:r>
          </w:p>
        </w:tc>
        <w:tc>
          <w:tcPr>
            <w:tcW w:type="dxa" w:w="5083"/>
          </w:tcPr>
          <w:p>
            <w:pPr>
              <w:spacing w:after="0"/>
            </w:pPr>
            <w:r>
              <w:rPr>
                <w:sz w:val="15"/>
              </w:rPr>
              <w:t>Effects replicate across teams/employers/context.</w:t>
            </w:r>
          </w:p>
        </w:tc>
      </w:tr>
      <w:tr>
        <w:tc>
          <w:tcPr>
            <w:tcW w:type="dxa" w:w="5083"/>
          </w:tcPr>
          <w:p>
            <w:pPr>
              <w:spacing w:after="0"/>
            </w:pPr>
            <w:r>
              <w:rPr>
                <w:sz w:val="15"/>
              </w:rPr>
              <w:t>6 Sustainable/economic value</w:t>
            </w:r>
          </w:p>
        </w:tc>
        <w:tc>
          <w:tcPr>
            <w:tcW w:type="dxa" w:w="5083"/>
          </w:tcPr>
          <w:p>
            <w:pPr>
              <w:spacing w:after="0"/>
            </w:pPr>
            <w:r>
              <w:rPr>
                <w:sz w:val="15"/>
              </w:rPr>
              <w:t>Benefits persist, protect multiple outcomes and justify costs.</w:t>
            </w:r>
          </w:p>
        </w:tc>
      </w:tr>
    </w:tbl>
    <w:p>
      <w:pPr>
        <w:pStyle w:val="Heading1"/>
      </w:pPr>
      <w:r>
        <w:t>16. ResolveCX Proof Boundary</w:t>
      </w:r>
    </w:p>
    <w:p>
      <w:r>
        <w:t>Existing call-center and work-design research can establish plausible structural drivers; it cannot prove that a particular ResolveCX redesign framework improves outcomes. ResolveCX must directly evaluate any employer intervention. Employee readiness or resilience improvements must not be presented as evidence that structural conditions are acceptable, and structural redesign must not be assumed beneficial unless customer, operational, worker and economic outcomes are jointly evaluated.</w:t>
      </w:r>
    </w:p>
    <w:p>
      <w:pPr>
        <w:pStyle w:val="Heading1"/>
      </w:pPr>
      <w:r>
        <w:t>17. Initial Evidence Registry</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0B3A53"/>
          </w:tcPr>
          <w:p>
            <w:r>
              <w:rPr>
                <w:b/>
                <w:color w:val="FFFFFF"/>
                <w:sz w:val="14"/>
              </w:rPr>
              <w:t>Source</w:t>
            </w:r>
          </w:p>
        </w:tc>
        <w:tc>
          <w:tcPr>
            <w:tcW w:type="dxa" w:w="3389"/>
            <w:shd w:fill="0B3A53"/>
          </w:tcPr>
          <w:p>
            <w:r>
              <w:rPr>
                <w:b/>
                <w:color w:val="FFFFFF"/>
                <w:sz w:val="14"/>
              </w:rPr>
              <w:t>Contribution</w:t>
            </w:r>
          </w:p>
        </w:tc>
        <w:tc>
          <w:tcPr>
            <w:tcW w:type="dxa" w:w="3389"/>
            <w:shd w:fill="0B3A53"/>
          </w:tcPr>
          <w:p>
            <w:r>
              <w:rPr>
                <w:b/>
                <w:color w:val="FFFFFF"/>
                <w:sz w:val="14"/>
              </w:rPr>
              <w:t>Boundary</w:t>
            </w:r>
          </w:p>
        </w:tc>
      </w:tr>
      <w:tr>
        <w:tc>
          <w:tcPr>
            <w:tcW w:type="dxa" w:w="3389"/>
          </w:tcPr>
          <w:p>
            <w:pPr>
              <w:spacing w:after="0"/>
            </w:pPr>
            <w:r>
              <w:rPr>
                <w:sz w:val="14"/>
              </w:rPr>
              <w:t>Holman (2002), Human Resource Management Journal</w:t>
            </w:r>
          </w:p>
        </w:tc>
        <w:tc>
          <w:tcPr>
            <w:tcW w:type="dxa" w:w="3389"/>
          </w:tcPr>
          <w:p>
            <w:pPr>
              <w:spacing w:after="0"/>
            </w:pPr>
            <w:r>
              <w:rPr>
                <w:sz w:val="14"/>
              </w:rPr>
              <w:t>557 CSRs; job design, monitoring, HR practices and team-leader support examined against well-being; control, lower monitoring and supportive leadership were prominent correlates.</w:t>
            </w:r>
          </w:p>
        </w:tc>
        <w:tc>
          <w:tcPr>
            <w:tcW w:type="dxa" w:w="3389"/>
          </w:tcPr>
          <w:p>
            <w:pPr>
              <w:spacing w:after="0"/>
            </w:pPr>
            <w:r>
              <w:rPr>
                <w:sz w:val="14"/>
              </w:rPr>
              <w:t>Older UK context; association does not establish modern causal thresholds.</w:t>
            </w:r>
          </w:p>
        </w:tc>
      </w:tr>
      <w:tr>
        <w:tc>
          <w:tcPr>
            <w:tcW w:type="dxa" w:w="3389"/>
          </w:tcPr>
          <w:p>
            <w:pPr>
              <w:spacing w:after="0"/>
            </w:pPr>
            <w:r>
              <w:rPr>
                <w:sz w:val="14"/>
              </w:rPr>
              <w:t>Holman, Chissick &amp; Totterdell (2002), Motivation and Emotion</w:t>
            </w:r>
          </w:p>
        </w:tc>
        <w:tc>
          <w:tcPr>
            <w:tcW w:type="dxa" w:w="3389"/>
          </w:tcPr>
          <w:p>
            <w:pPr>
              <w:spacing w:after="0"/>
            </w:pPr>
            <w:r>
              <w:rPr>
                <w:sz w:val="14"/>
              </w:rPr>
              <w:t>Call-center performance monitoring, emotional labor and well-being; 347 respondents across two sites described in study.</w:t>
            </w:r>
          </w:p>
        </w:tc>
        <w:tc>
          <w:tcPr>
            <w:tcW w:type="dxa" w:w="3389"/>
          </w:tcPr>
          <w:p>
            <w:pPr>
              <w:spacing w:after="0"/>
            </w:pPr>
            <w:r>
              <w:rPr>
                <w:sz w:val="14"/>
              </w:rPr>
              <w:t>Older technology/monitoring environment.</w:t>
            </w:r>
          </w:p>
        </w:tc>
      </w:tr>
      <w:tr>
        <w:tc>
          <w:tcPr>
            <w:tcW w:type="dxa" w:w="3389"/>
          </w:tcPr>
          <w:p>
            <w:pPr>
              <w:spacing w:after="0"/>
            </w:pPr>
            <w:r>
              <w:rPr>
                <w:sz w:val="14"/>
              </w:rPr>
              <w:t>Holman et al. (2009), Industrial and Labor Relations Review</w:t>
            </w:r>
          </w:p>
        </w:tc>
        <w:tc>
          <w:tcPr>
            <w:tcW w:type="dxa" w:w="3389"/>
          </w:tcPr>
          <w:p>
            <w:pPr>
              <w:spacing w:after="0"/>
            </w:pPr>
            <w:r>
              <w:rPr>
                <w:sz w:val="14"/>
              </w:rPr>
              <w:t>Survey of 2,359 call centers in 16 countries; demonstrates substantial work-design variation tied to strategic/institutional context.</w:t>
            </w:r>
          </w:p>
        </w:tc>
        <w:tc>
          <w:tcPr>
            <w:tcW w:type="dxa" w:w="3389"/>
          </w:tcPr>
          <w:p>
            <w:pPr>
              <w:spacing w:after="0"/>
            </w:pPr>
            <w:r>
              <w:rPr>
                <w:sz w:val="14"/>
              </w:rPr>
              <w:t>2003–2006 data; modern digital/AI work requires new evidence.</w:t>
            </w:r>
          </w:p>
        </w:tc>
      </w:tr>
      <w:tr>
        <w:tc>
          <w:tcPr>
            <w:tcW w:type="dxa" w:w="3389"/>
          </w:tcPr>
          <w:p>
            <w:pPr>
              <w:spacing w:after="0"/>
            </w:pPr>
            <w:r>
              <w:rPr>
                <w:sz w:val="14"/>
              </w:rPr>
              <w:t>Exercise, character strengths, well-being and learning climate study (2014)</w:t>
            </w:r>
          </w:p>
        </w:tc>
        <w:tc>
          <w:tcPr>
            <w:tcW w:type="dxa" w:w="3389"/>
          </w:tcPr>
          <w:p>
            <w:pPr>
              <w:spacing w:after="0"/>
            </w:pPr>
            <w:r>
              <w:rPr>
                <w:sz w:val="14"/>
              </w:rPr>
              <w:t>Six-month call-center performance study illustrates longitudinal employee/context measurement.</w:t>
            </w:r>
          </w:p>
        </w:tc>
        <w:tc>
          <w:tcPr>
            <w:tcW w:type="dxa" w:w="3389"/>
          </w:tcPr>
          <w:p>
            <w:pPr>
              <w:spacing w:after="0"/>
            </w:pPr>
            <w:r>
              <w:rPr>
                <w:sz w:val="14"/>
              </w:rPr>
              <w:t>Specific performance operationalization and context limit generalization.</w:t>
            </w:r>
          </w:p>
        </w:tc>
      </w:tr>
      <w:tr>
        <w:tc>
          <w:tcPr>
            <w:tcW w:type="dxa" w:w="3389"/>
          </w:tcPr>
          <w:p>
            <w:pPr>
              <w:spacing w:after="0"/>
            </w:pPr>
            <w:r>
              <w:rPr>
                <w:sz w:val="14"/>
              </w:rPr>
              <w:t>Study #004 evidence base</w:t>
            </w:r>
          </w:p>
        </w:tc>
        <w:tc>
          <w:tcPr>
            <w:tcW w:type="dxa" w:w="3389"/>
          </w:tcPr>
          <w:p>
            <w:pPr>
              <w:spacing w:after="0"/>
            </w:pPr>
            <w:r>
              <w:rPr>
                <w:sz w:val="14"/>
              </w:rPr>
              <w:t>Supervisor support and leadership mechanisms.</w:t>
            </w:r>
          </w:p>
        </w:tc>
        <w:tc>
          <w:tcPr>
            <w:tcW w:type="dxa" w:w="3389"/>
          </w:tcPr>
          <w:p>
            <w:pPr>
              <w:spacing w:after="0"/>
            </w:pPr>
            <w:r>
              <w:rPr>
                <w:sz w:val="14"/>
              </w:rPr>
              <w:t>Leadership must be separated from structural conditions.</w:t>
            </w:r>
          </w:p>
        </w:tc>
      </w:tr>
      <w:tr>
        <w:tc>
          <w:tcPr>
            <w:tcW w:type="dxa" w:w="3389"/>
          </w:tcPr>
          <w:p>
            <w:pPr>
              <w:spacing w:after="0"/>
            </w:pPr>
            <w:r>
              <w:rPr>
                <w:sz w:val="14"/>
              </w:rPr>
              <w:t>Study #005 evidence base</w:t>
            </w:r>
          </w:p>
        </w:tc>
        <w:tc>
          <w:tcPr>
            <w:tcW w:type="dxa" w:w="3389"/>
          </w:tcPr>
          <w:p>
            <w:pPr>
              <w:spacing w:after="0"/>
            </w:pPr>
            <w:r>
              <w:rPr>
                <w:sz w:val="14"/>
              </w:rPr>
              <w:t>Change load, capacity and readiness.</w:t>
            </w:r>
          </w:p>
        </w:tc>
        <w:tc>
          <w:tcPr>
            <w:tcW w:type="dxa" w:w="3389"/>
          </w:tcPr>
          <w:p>
            <w:pPr>
              <w:spacing w:after="0"/>
            </w:pPr>
            <w:r>
              <w:rPr>
                <w:sz w:val="14"/>
              </w:rPr>
              <w:t>Persistent work design differs from discrete change exposure.</w:t>
            </w:r>
          </w:p>
        </w:tc>
      </w:tr>
      <w:tr>
        <w:tc>
          <w:tcPr>
            <w:tcW w:type="dxa" w:w="3389"/>
          </w:tcPr>
          <w:p>
            <w:pPr>
              <w:spacing w:after="0"/>
            </w:pPr>
            <w:r>
              <w:rPr>
                <w:sz w:val="14"/>
              </w:rPr>
              <w:t>Study #007 evidence base</w:t>
            </w:r>
          </w:p>
        </w:tc>
        <w:tc>
          <w:tcPr>
            <w:tcW w:type="dxa" w:w="3389"/>
          </w:tcPr>
          <w:p>
            <w:pPr>
              <w:spacing w:after="0"/>
            </w:pPr>
            <w:r>
              <w:rPr>
                <w:sz w:val="14"/>
              </w:rPr>
              <w:t>AI augmentation, algorithmic management, capacity release and skill safeguards.</w:t>
            </w:r>
          </w:p>
        </w:tc>
        <w:tc>
          <w:tcPr>
            <w:tcW w:type="dxa" w:w="3389"/>
          </w:tcPr>
          <w:p>
            <w:pPr>
              <w:spacing w:after="0"/>
            </w:pPr>
            <w:r>
              <w:rPr>
                <w:sz w:val="14"/>
              </w:rPr>
              <w:t>AI-specific mechanisms require integration, not duplication.</w:t>
            </w:r>
          </w:p>
        </w:tc>
      </w:tr>
    </w:tbl>
    <w:p>
      <w:pPr>
        <w:pStyle w:val="Heading1"/>
      </w:pPr>
      <w:r>
        <w:t>18. Research Quality and Release Standards</w:t>
      </w:r>
    </w:p>
    <w:p>
      <w:pPr>
        <w:pStyle w:val="ListBullet"/>
        <w:spacing w:after="20"/>
      </w:pPr>
      <w:r>
        <w:t>Do not frame structural strain as individual weakness.</w:t>
      </w:r>
    </w:p>
    <w:p>
      <w:pPr>
        <w:pStyle w:val="ListBullet"/>
        <w:spacing w:after="20"/>
      </w:pPr>
      <w:r>
        <w:t>Use objective operational data alongside perception measures where possible.</w:t>
      </w:r>
    </w:p>
    <w:p>
      <w:pPr>
        <w:pStyle w:val="ListBullet"/>
        <w:spacing w:after="20"/>
      </w:pPr>
      <w:r>
        <w:t>Separate workload, staffing, monitoring, schedule, emotional demand, technology and leadership rather than collapsing them prematurely.</w:t>
      </w:r>
    </w:p>
    <w:p>
      <w:pPr>
        <w:pStyle w:val="ListBullet"/>
        <w:spacing w:after="20"/>
      </w:pPr>
      <w:r>
        <w:t>No single “sustainability score” before construct validation.</w:t>
      </w:r>
    </w:p>
    <w:p>
      <w:pPr>
        <w:pStyle w:val="ListBullet"/>
        <w:spacing w:after="20"/>
      </w:pPr>
      <w:r>
        <w:t>Productivity is never interpreted without quality/customer/sustainability outcomes.</w:t>
      </w:r>
    </w:p>
    <w:p>
      <w:pPr>
        <w:pStyle w:val="ListBullet"/>
        <w:spacing w:after="20"/>
      </w:pPr>
      <w:r>
        <w:t>Distinguish developmental monitoring from surveillance/control.</w:t>
      </w:r>
    </w:p>
    <w:p>
      <w:pPr>
        <w:pStyle w:val="ListBullet"/>
        <w:spacing w:after="20"/>
      </w:pPr>
      <w:r>
        <w:t>Test structural ceilings rather than assuming readiness/resilience can compensate indefinitely.</w:t>
      </w:r>
    </w:p>
    <w:p>
      <w:pPr>
        <w:pStyle w:val="ListBullet"/>
        <w:spacing w:after="20"/>
      </w:pPr>
      <w:r>
        <w:t>Compare redesign with individual-focused alternatives.</w:t>
      </w:r>
    </w:p>
    <w:p>
      <w:pPr>
        <w:pStyle w:val="ListBullet"/>
        <w:spacing w:after="20"/>
      </w:pPr>
      <w:r>
        <w:t>Preserve heterogeneity across roles, channels and employers.</w:t>
      </w:r>
    </w:p>
    <w:p>
      <w:pPr>
        <w:pStyle w:val="ListBullet"/>
        <w:spacing w:after="20"/>
      </w:pPr>
      <w:r>
        <w:t>Direct ResolveCX intervention evidence required before effectiveness/ROI claims.</w:t>
      </w:r>
    </w:p>
    <w:p>
      <w:pPr>
        <w:pStyle w:val="Heading1"/>
      </w:pPr>
      <w:r>
        <w:t>19. Immediate Implementation Sequence</w:t>
      </w:r>
    </w:p>
    <w:p>
      <w:pPr>
        <w:pStyle w:val="ListNumber"/>
        <w:spacing w:after="20"/>
      </w:pPr>
      <w:r>
        <w:t>Add Study #010 hypotheses and evidence anchors to the Master Evidence Registry.</w:t>
      </w:r>
    </w:p>
    <w:p>
      <w:pPr>
        <w:pStyle w:val="ListNumber"/>
        <w:spacing w:after="20"/>
      </w:pPr>
      <w:r>
        <w:t>Expand the evidence review across modern contact-center work design, electronic/algorithmic monitoring, schedule quality, recovery, emotional labor, remote contact-center work and job-demands/resources research.</w:t>
      </w:r>
    </w:p>
    <w:p>
      <w:pPr>
        <w:pStyle w:val="ListNumber"/>
        <w:spacing w:after="20"/>
      </w:pPr>
      <w:r>
        <w:t>Create the Work Design Construct Dictionary without a composite index.</w:t>
      </w:r>
    </w:p>
    <w:p>
      <w:pPr>
        <w:pStyle w:val="ListNumber"/>
        <w:spacing w:after="20"/>
      </w:pPr>
      <w:r>
        <w:t>Map which variables can be obtained objectively from WFM/QA/HRIS/technology systems.</w:t>
      </w:r>
    </w:p>
    <w:p>
      <w:pPr>
        <w:pStyle w:val="ListNumber"/>
        <w:spacing w:after="20"/>
      </w:pPr>
      <w:r>
        <w:t>Define the Structural Ceiling analysis linking #001/#009 readiness, #004 supervisor effects and #010 work design.</w:t>
      </w:r>
    </w:p>
    <w:p>
      <w:pPr>
        <w:pStyle w:val="ListNumber"/>
        <w:spacing w:after="20"/>
      </w:pPr>
      <w:r>
        <w:t>Identify employer redesign events suitable for natural/staggered experiments.</w:t>
      </w:r>
    </w:p>
    <w:p>
      <w:pPr>
        <w:pStyle w:val="ListNumber"/>
        <w:spacing w:after="20"/>
      </w:pPr>
      <w:r>
        <w:t>Develop only the contact-center-specific survey items that remain after evidence review and cognitive testing.</w:t>
      </w:r>
    </w:p>
    <w:p>
      <w:pPr>
        <w:pStyle w:val="ListNumber"/>
        <w:spacing w:after="20"/>
      </w:pPr>
      <w:r>
        <w:t>Run multi-outcome analyses that jointly protect customer, performance and employee sustainability.</w:t>
      </w:r>
    </w:p>
    <w:p>
      <w:pPr>
        <w:pStyle w:val="ListNumber"/>
        <w:spacing w:after="20"/>
      </w:pPr>
      <w:r>
        <w:t>Feed validated redesign effects and costs into #008.</w:t>
      </w:r>
    </w:p>
    <w:p>
      <w:pPr>
        <w:pStyle w:val="ListNumber"/>
        <w:spacing w:after="20"/>
      </w:pPr>
      <w:r>
        <w:t>After #010, stop adding foundational studies unless synthesis reveals a material unaddressed threat to the business thesis.</w:t>
      </w:r>
    </w:p>
    <w:p>
      <w:pPr>
        <w:pStyle w:val="Heading1"/>
      </w:pPr>
      <w:r>
        <w:t>Final Structural-Remediation Amendment — v1.1</w:t>
      </w:r>
    </w:p>
    <w:p>
      <w:r>
        <w:t>This amendment strengthens Study #010 by converting the structural-ceiling concept into an explicit intervention decision rule. It prevents individual-readiness, resilience, coaching, or training interventions from being represented as equivalent substitutes for correcting a materially adverse and feasibly remediable work-design condition.</w:t>
      </w:r>
    </w:p>
    <w:p>
      <w:pPr>
        <w:pStyle w:val="Heading2"/>
      </w:pPr>
      <w:r>
        <w:t>H15 — Organizational Remediation Precedence</w:t>
      </w:r>
    </w:p>
    <w:p>
      <w:r>
        <w:t>When a materially adverse structural condition is a dominant and plausibly causal driver of poor employee or customer outcomes, and the organization has a feasible structural remedy, correcting that condition should produce greater or more durable value than relying primarily on individual-readiness interventions. Readiness interventions may complement remediation, but should not be represented as an equivalent substitute without comparative evidence.</w:t>
      </w:r>
    </w:p>
    <w:p>
      <w:pPr>
        <w:pStyle w:val="Heading2"/>
      </w:pPr>
      <w:r>
        <w:t>Person vs. System Intervention Decision Rule</w:t>
      </w:r>
    </w:p>
    <w:p>
      <w:r>
        <w:t>Before recommending an individual-level intervention, Study #010 will classify the dominant problem source as primarily person/capability, supervisor/team, work-design/operating-system, organizational-policy/resource, or mixed. Where a feasible structural remedy directly addresses the dominant source, ResolveCX should prioritize or recommend that remedy before—or alongside—individual readiness. If the structural remedy is infeasible, delayed, or outside the buyer's control, any individual intervention must be described as mitigation rather than correction of the root cause.</w:t>
      </w:r>
    </w:p>
    <w:p>
      <w:pPr>
        <w:pStyle w:val="Heading2"/>
      </w:pPr>
      <w:r>
        <w:t>Structural Remediation Test</w:t>
      </w:r>
    </w:p>
    <w:p>
      <w:pPr>
        <w:pStyle w:val="ListBullet"/>
      </w:pPr>
      <w:r>
        <w:t>Identify the adverse condition and its plausible causal pathway.</w:t>
      </w:r>
    </w:p>
    <w:p>
      <w:pPr>
        <w:pStyle w:val="ListBullet"/>
      </w:pPr>
      <w:r>
        <w:t>Determine whether the condition is modifiable by the employer or partner.</w:t>
      </w:r>
    </w:p>
    <w:p>
      <w:pPr>
        <w:pStyle w:val="ListBullet"/>
      </w:pPr>
      <w:r>
        <w:t>Estimate the likely effect and cost of correcting the structural condition.</w:t>
      </w:r>
    </w:p>
    <w:p>
      <w:pPr>
        <w:pStyle w:val="ListBullet"/>
      </w:pPr>
      <w:r>
        <w:t>Compare that option with readiness, resilience, coaching, staffing, scheduling, process, technology, or leadership alternatives.</w:t>
      </w:r>
    </w:p>
    <w:p>
      <w:pPr>
        <w:pStyle w:val="ListBullet"/>
      </w:pPr>
      <w:r>
        <w:t>Assess whether combining structural and individual interventions produces additive, redundant, or interacting effects.</w:t>
      </w:r>
    </w:p>
    <w:p>
      <w:pPr>
        <w:pStyle w:val="ListBullet"/>
      </w:pPr>
      <w:r>
        <w:t>Document when organizational constraints prevent remediation so mitigation is not mislabeled as a root-cause solution.</w:t>
      </w:r>
    </w:p>
    <w:p>
      <w:pPr>
        <w:pStyle w:val="Heading2"/>
      </w:pPr>
      <w:r>
        <w:t>Additional Falsification Conditions</w:t>
      </w:r>
    </w:p>
    <w:p>
      <w:pPr>
        <w:pStyle w:val="ListBullet"/>
      </w:pPr>
      <w:r>
        <w:t>F19 — Structural remediation produces substantially better outcomes than individual-readiness intervention for the dominant problem at comparable or lower cost.</w:t>
      </w:r>
    </w:p>
    <w:p>
      <w:pPr>
        <w:pStyle w:val="ListBullet"/>
      </w:pPr>
      <w:r>
        <w:t>F20 — Readiness gains disappear when chronic understaffing, schedule instability, punitive monitoring, excessive workload, or another dominant structural condition remains unchanged.</w:t>
      </w:r>
    </w:p>
    <w:p>
      <w:pPr>
        <w:pStyle w:val="ListBullet"/>
      </w:pPr>
      <w:r>
        <w:t>F21 — Individual interventions improve self-reported coping but do not improve objective sustainability, retention, quality, or customer outcomes under adverse work design.</w:t>
      </w:r>
    </w:p>
    <w:p>
      <w:pPr>
        <w:pStyle w:val="ListBullet"/>
      </w:pPr>
      <w:r>
        <w:t>F22 — The apparent need for readiness intervention is largely explained by employer-specific policy, staffing, technology, workflow, or leadership failures.</w:t>
      </w:r>
    </w:p>
    <w:p>
      <w:pPr>
        <w:pStyle w:val="Heading2"/>
      </w:pPr>
      <w:r>
        <w:t>Analysis and Release Additions</w:t>
      </w:r>
    </w:p>
    <w:p>
      <w:pPr>
        <w:pStyle w:val="ListBullet"/>
      </w:pPr>
      <w:r>
        <w:t>Estimate structural and individual effects separately where design permits.</w:t>
      </w:r>
    </w:p>
    <w:p>
      <w:pPr>
        <w:pStyle w:val="ListBullet"/>
      </w:pPr>
      <w:r>
        <w:t>Test interaction effects to determine whether readiness works differently under healthy versus adverse work design.</w:t>
      </w:r>
    </w:p>
    <w:p>
      <w:pPr>
        <w:pStyle w:val="ListBullet"/>
      </w:pPr>
      <w:r>
        <w:t>Do not interpret low resilience as the cause when workload, schedule, monitoring, staffing, or other structural exposure better explains the outcome.</w:t>
      </w:r>
    </w:p>
    <w:p>
      <w:pPr>
        <w:pStyle w:val="ListBullet"/>
      </w:pPr>
      <w:r>
        <w:t>Compare feasible structural alternatives before recommending an individual-level solution.</w:t>
      </w:r>
    </w:p>
    <w:p>
      <w:pPr>
        <w:pStyle w:val="ListBullet"/>
      </w:pPr>
      <w:r>
        <w:t>Label individual interventions as mitigation when they do not correct the dominant structural cause.</w:t>
      </w:r>
    </w:p>
    <w:p>
      <w:pPr>
        <w:pStyle w:val="ListBullet"/>
      </w:pPr>
      <w:r>
        <w:t>Report customer and worker outcomes jointly when work-design changes may trade speed against quality, recovery, fairness, or sustainability.</w:t>
      </w:r>
    </w:p>
    <w:p>
      <w:pPr>
        <w:pStyle w:val="Heading1"/>
      </w:pPr>
      <w:r>
        <w:t>20. Protocol Decision</w:t>
      </w:r>
    </w:p>
    <w:p>
      <w:r>
        <w:t>Study #010 v1.1 is approved for introduction as Ongoing Research and is ready to freeze. The protocol now requires ResolveCX to distinguish person-level capability problems from supervisor, work-design, policy, resource, and operating-system causes, and to prefer feasible structural remediation when it more directly addresses the dominant cause. Individual readiness may complement structural improvement, but it must not be used to disguise or normalize unhealthy work design.</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Research Protocol v1.1  •  Ongoing Research  •  Evidence-First Design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sz w:val="17"/>
      </w:rPr>
      <w:t>ResolveCX Research Series  |  Study #010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0B3A53"/>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0678E"/>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